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FF" w:rsidRPr="005371A7" w:rsidRDefault="00485B95" w:rsidP="00D8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71A7">
        <w:rPr>
          <w:rFonts w:ascii="Times New Roman" w:hAnsi="Times New Roman" w:cs="Times New Roman"/>
          <w:b/>
          <w:sz w:val="28"/>
          <w:szCs w:val="24"/>
        </w:rPr>
        <w:t>A katasztrófa</w:t>
      </w:r>
      <w:r w:rsidR="004706D0" w:rsidRPr="005371A7">
        <w:rPr>
          <w:rFonts w:ascii="Times New Roman" w:hAnsi="Times New Roman" w:cs="Times New Roman"/>
          <w:b/>
          <w:sz w:val="28"/>
          <w:szCs w:val="24"/>
        </w:rPr>
        <w:t>-</w:t>
      </w:r>
      <w:r w:rsidRPr="005371A7">
        <w:rPr>
          <w:rFonts w:ascii="Times New Roman" w:hAnsi="Times New Roman" w:cs="Times New Roman"/>
          <w:b/>
          <w:sz w:val="28"/>
          <w:szCs w:val="24"/>
        </w:rPr>
        <w:t>balesetekre vonatkozó fedezeti összeghatárok kiszámításához alkalmazandó módszertan</w:t>
      </w:r>
    </w:p>
    <w:p w:rsidR="00073A01" w:rsidRPr="005371A7" w:rsidRDefault="004506E4" w:rsidP="00D8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71A7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073A01" w:rsidRPr="005371A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F2647">
        <w:rPr>
          <w:rFonts w:ascii="Times New Roman" w:hAnsi="Times New Roman" w:cs="Times New Roman"/>
          <w:b/>
          <w:sz w:val="28"/>
          <w:szCs w:val="24"/>
        </w:rPr>
        <w:t xml:space="preserve">október </w:t>
      </w:r>
      <w:r w:rsidR="00B8015D">
        <w:rPr>
          <w:rFonts w:ascii="Times New Roman" w:hAnsi="Times New Roman" w:cs="Times New Roman"/>
          <w:b/>
          <w:sz w:val="28"/>
          <w:szCs w:val="24"/>
        </w:rPr>
        <w:t>2</w:t>
      </w:r>
      <w:r w:rsidR="005F2647">
        <w:rPr>
          <w:rFonts w:ascii="Times New Roman" w:hAnsi="Times New Roman" w:cs="Times New Roman"/>
          <w:b/>
          <w:sz w:val="28"/>
          <w:szCs w:val="24"/>
        </w:rPr>
        <w:t>-től</w:t>
      </w:r>
    </w:p>
    <w:p w:rsidR="00717913" w:rsidRPr="005371A7" w:rsidRDefault="00485B95" w:rsidP="00D8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71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3A01" w:rsidRPr="005371A7">
        <w:rPr>
          <w:rFonts w:ascii="Times New Roman" w:hAnsi="Times New Roman" w:cs="Times New Roman"/>
          <w:b/>
          <w:sz w:val="28"/>
          <w:szCs w:val="24"/>
        </w:rPr>
        <w:t xml:space="preserve">Érvénybe lépés: </w:t>
      </w:r>
      <w:r w:rsidRPr="005371A7">
        <w:rPr>
          <w:rFonts w:ascii="Times New Roman" w:hAnsi="Times New Roman" w:cs="Times New Roman"/>
          <w:b/>
          <w:sz w:val="28"/>
          <w:szCs w:val="24"/>
        </w:rPr>
        <w:t xml:space="preserve">2016. </w:t>
      </w:r>
      <w:r w:rsidR="00073A01" w:rsidRPr="005371A7">
        <w:rPr>
          <w:rFonts w:ascii="Times New Roman" w:hAnsi="Times New Roman" w:cs="Times New Roman"/>
          <w:b/>
          <w:sz w:val="28"/>
          <w:szCs w:val="24"/>
        </w:rPr>
        <w:t>november 25.</w:t>
      </w:r>
    </w:p>
    <w:p w:rsidR="008B5B38" w:rsidRPr="007C537F" w:rsidRDefault="008B5B38" w:rsidP="00D835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B95" w:rsidRPr="006C3326" w:rsidRDefault="00485B95" w:rsidP="00D83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37F">
        <w:rPr>
          <w:rFonts w:ascii="Times New Roman" w:hAnsi="Times New Roman" w:cs="Times New Roman"/>
          <w:sz w:val="24"/>
          <w:szCs w:val="24"/>
        </w:rPr>
        <w:t>A vasúti társaságok kötelez</w:t>
      </w:r>
      <w:r w:rsidR="001A6A8F" w:rsidRPr="007C537F">
        <w:rPr>
          <w:rFonts w:ascii="Times New Roman" w:hAnsi="Times New Roman" w:cs="Times New Roman"/>
          <w:sz w:val="24"/>
          <w:szCs w:val="24"/>
        </w:rPr>
        <w:t>ő baleseti kárfedezeti képességének biztosításáról szóló</w:t>
      </w:r>
      <w:r w:rsidR="007C537F">
        <w:rPr>
          <w:rFonts w:ascii="Times New Roman" w:hAnsi="Times New Roman" w:cs="Times New Roman"/>
          <w:sz w:val="24"/>
          <w:szCs w:val="24"/>
        </w:rPr>
        <w:t xml:space="preserve"> </w:t>
      </w:r>
      <w:r w:rsidR="001A6A8F" w:rsidRPr="007C537F">
        <w:rPr>
          <w:rFonts w:ascii="Times New Roman" w:hAnsi="Times New Roman" w:cs="Times New Roman"/>
          <w:sz w:val="24"/>
          <w:szCs w:val="24"/>
        </w:rPr>
        <w:t>271/2007. (X.</w:t>
      </w:r>
      <w:r w:rsidR="00A1703E">
        <w:rPr>
          <w:rFonts w:ascii="Times New Roman" w:hAnsi="Times New Roman" w:cs="Times New Roman"/>
          <w:sz w:val="24"/>
          <w:szCs w:val="24"/>
        </w:rPr>
        <w:t xml:space="preserve"> </w:t>
      </w:r>
      <w:r w:rsidR="001A6A8F" w:rsidRPr="007C537F">
        <w:rPr>
          <w:rFonts w:ascii="Times New Roman" w:hAnsi="Times New Roman" w:cs="Times New Roman"/>
          <w:sz w:val="24"/>
          <w:szCs w:val="24"/>
        </w:rPr>
        <w:t xml:space="preserve">19.) </w:t>
      </w:r>
      <w:r w:rsidR="006B1BB2" w:rsidRPr="007C537F">
        <w:rPr>
          <w:rFonts w:ascii="Times New Roman" w:hAnsi="Times New Roman" w:cs="Times New Roman"/>
          <w:sz w:val="24"/>
          <w:szCs w:val="24"/>
        </w:rPr>
        <w:t>Korm.</w:t>
      </w:r>
      <w:r w:rsidR="00A1703E">
        <w:rPr>
          <w:rFonts w:ascii="Times New Roman" w:hAnsi="Times New Roman" w:cs="Times New Roman"/>
          <w:sz w:val="24"/>
          <w:szCs w:val="24"/>
        </w:rPr>
        <w:t xml:space="preserve"> </w:t>
      </w:r>
      <w:r w:rsidR="006B1BB2" w:rsidRPr="007C537F">
        <w:rPr>
          <w:rFonts w:ascii="Times New Roman" w:hAnsi="Times New Roman" w:cs="Times New Roman"/>
          <w:sz w:val="24"/>
          <w:szCs w:val="24"/>
        </w:rPr>
        <w:t>rendelet (a továbbiakban: Korm</w:t>
      </w:r>
      <w:r w:rsidR="001E5CE9" w:rsidRPr="007C537F">
        <w:rPr>
          <w:rFonts w:ascii="Times New Roman" w:hAnsi="Times New Roman" w:cs="Times New Roman"/>
          <w:sz w:val="24"/>
          <w:szCs w:val="24"/>
        </w:rPr>
        <w:t>ány</w:t>
      </w:r>
      <w:r w:rsidR="006B1BB2" w:rsidRPr="007C537F">
        <w:rPr>
          <w:rFonts w:ascii="Times New Roman" w:hAnsi="Times New Roman" w:cs="Times New Roman"/>
          <w:sz w:val="24"/>
          <w:szCs w:val="24"/>
        </w:rPr>
        <w:t xml:space="preserve">rendelet) </w:t>
      </w:r>
      <w:r w:rsidR="001A6A8F" w:rsidRPr="007C537F">
        <w:rPr>
          <w:rFonts w:ascii="Times New Roman" w:hAnsi="Times New Roman" w:cs="Times New Roman"/>
          <w:sz w:val="24"/>
          <w:szCs w:val="24"/>
        </w:rPr>
        <w:t xml:space="preserve">4. </w:t>
      </w:r>
      <w:r w:rsidR="00E47AF7" w:rsidRPr="006C3326">
        <w:rPr>
          <w:rFonts w:ascii="Times New Roman" w:hAnsi="Times New Roman" w:cs="Times New Roman"/>
          <w:bCs/>
          <w:sz w:val="24"/>
          <w:szCs w:val="24"/>
        </w:rPr>
        <w:t xml:space="preserve">§ (4) </w:t>
      </w:r>
      <w:r w:rsidR="00D11749">
        <w:rPr>
          <w:rFonts w:ascii="Times New Roman" w:hAnsi="Times New Roman" w:cs="Times New Roman"/>
          <w:bCs/>
          <w:sz w:val="24"/>
          <w:szCs w:val="24"/>
        </w:rPr>
        <w:t xml:space="preserve">bekezdése </w:t>
      </w:r>
      <w:r w:rsidR="00E47AF7" w:rsidRPr="006C3326">
        <w:rPr>
          <w:rFonts w:ascii="Times New Roman" w:hAnsi="Times New Roman" w:cs="Times New Roman"/>
          <w:bCs/>
          <w:sz w:val="24"/>
          <w:szCs w:val="24"/>
        </w:rPr>
        <w:t>és 11/</w:t>
      </w:r>
      <w:proofErr w:type="gramStart"/>
      <w:r w:rsidR="00E47AF7" w:rsidRPr="006C3326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E47AF7" w:rsidRPr="006C3326">
        <w:rPr>
          <w:rFonts w:ascii="Times New Roman" w:hAnsi="Times New Roman" w:cs="Times New Roman"/>
          <w:bCs/>
          <w:sz w:val="24"/>
          <w:szCs w:val="24"/>
        </w:rPr>
        <w:t>. §</w:t>
      </w:r>
      <w:proofErr w:type="spellStart"/>
      <w:r w:rsidR="00D11749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D11749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 w:rsidR="006B1BB2" w:rsidRPr="006C3326">
        <w:rPr>
          <w:rFonts w:ascii="Times New Roman" w:hAnsi="Times New Roman" w:cs="Times New Roman"/>
          <w:bCs/>
          <w:sz w:val="24"/>
          <w:szCs w:val="24"/>
        </w:rPr>
        <w:t xml:space="preserve"> alapján</w:t>
      </w:r>
    </w:p>
    <w:p w:rsidR="00A66029" w:rsidRPr="007C537F" w:rsidRDefault="00A66029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F7" w:rsidRPr="006C3326" w:rsidRDefault="000D21AA" w:rsidP="00D83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C3326">
        <w:rPr>
          <w:rFonts w:ascii="Times New Roman" w:hAnsi="Times New Roman" w:cs="Times New Roman"/>
          <w:b/>
          <w:sz w:val="28"/>
          <w:szCs w:val="24"/>
          <w:u w:val="single"/>
        </w:rPr>
        <w:t xml:space="preserve">I. </w:t>
      </w:r>
      <w:r w:rsidR="00E47AF7" w:rsidRPr="006C3326">
        <w:rPr>
          <w:rFonts w:ascii="Times New Roman" w:hAnsi="Times New Roman" w:cs="Times New Roman"/>
          <w:b/>
          <w:sz w:val="28"/>
          <w:szCs w:val="24"/>
          <w:u w:val="single"/>
        </w:rPr>
        <w:t>Minimális fedezetek</w:t>
      </w:r>
      <w:bookmarkStart w:id="0" w:name="_GoBack"/>
      <w:bookmarkEnd w:id="0"/>
    </w:p>
    <w:p w:rsidR="007C537F" w:rsidRDefault="007C537F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F7" w:rsidRPr="007C537F" w:rsidRDefault="00E47AF7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37F">
        <w:rPr>
          <w:rFonts w:ascii="Times New Roman" w:hAnsi="Times New Roman" w:cs="Times New Roman"/>
          <w:sz w:val="24"/>
          <w:szCs w:val="24"/>
        </w:rPr>
        <w:t>A Kormányrendelet 1. számú mellékletének 11. pontja:</w:t>
      </w:r>
    </w:p>
    <w:p w:rsidR="00E47AF7" w:rsidRPr="00831C83" w:rsidRDefault="00E47AF7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83">
        <w:rPr>
          <w:rFonts w:ascii="Times New Roman" w:hAnsi="Times New Roman" w:cs="Times New Roman"/>
          <w:sz w:val="24"/>
          <w:szCs w:val="24"/>
        </w:rPr>
        <w:t>„A katasztrófa</w:t>
      </w:r>
      <w:r w:rsidR="00AD08A5" w:rsidRPr="00831C83">
        <w:rPr>
          <w:rFonts w:ascii="Times New Roman" w:hAnsi="Times New Roman" w:cs="Times New Roman"/>
          <w:sz w:val="24"/>
          <w:szCs w:val="24"/>
        </w:rPr>
        <w:t>-</w:t>
      </w:r>
      <w:r w:rsidRPr="00831C83">
        <w:rPr>
          <w:rFonts w:ascii="Times New Roman" w:hAnsi="Times New Roman" w:cs="Times New Roman"/>
          <w:sz w:val="24"/>
          <w:szCs w:val="24"/>
        </w:rPr>
        <w:t>balesetek fedezeti összeghatárának számítása</w:t>
      </w:r>
    </w:p>
    <w:p w:rsidR="007C537F" w:rsidRPr="006C3326" w:rsidRDefault="007C537F" w:rsidP="00D8351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A83" w:rsidRPr="006C3326" w:rsidRDefault="00520A83" w:rsidP="00D8351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PML = PML1 + PML2</w:t>
      </w:r>
    </w:p>
    <w:p w:rsidR="007C537F" w:rsidRPr="006C3326" w:rsidRDefault="007C537F" w:rsidP="00D83515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0A83" w:rsidRPr="006C3326" w:rsidRDefault="00520A83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</w:t>
      </w: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520A83" w:rsidRPr="006C3326" w:rsidRDefault="00520A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 = Az a lehetséges legnagyobb személyi sérüléssel járó és dologi kár (forint), ami a tevékenység következtében maximumként bekövetkezhet, függetlenül a vasúti baleset bekövetkezésének valószínűségétől,</w:t>
      </w:r>
    </w:p>
    <w:p w:rsidR="00520A83" w:rsidRPr="006C3326" w:rsidRDefault="00520A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PML1 = Az a lehetséges legnagyobb személyi sérüléssel járó kár (forint), ami a tevékenység következtében maximumként bekövetkezhet. A személyi sérüléssel járó kár meghatározásához személyenként legalább 30 millió forint kárral, országos és elővárosi működési engedély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D7325D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esetén 50 fő, helyi, városi működési engedély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D7325D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bejelentés esetén legalább 10 fő, térségi, 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célú, </w:t>
      </w:r>
      <w:r w:rsid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>keskeny nyomtávolságú vasút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D7325D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múzeumvasút</w:t>
      </w:r>
      <w:r w:rsid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iparvágányon</w:t>
      </w:r>
      <w:r w:rsid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tevékenységre vonatkozó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engedély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esetén legalább 1 fő károsulttal kell számolni,</w:t>
      </w:r>
    </w:p>
    <w:p w:rsidR="00520A83" w:rsidRPr="006C3326" w:rsidRDefault="00520A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PML2 = Az a lehetséges legnagyobb dologi kár (forint), ami a tevékenység következtében maximumként bekövetkezhet. A dologi kár meghatározásánál figyelembe kell venni, hogy a vasúti baleset folytán megsérülhetnek különféle épületek, építmények (pl. híd, vasúti pálya és tartozékai, lakóházak, alagút, földcsere stb.).</w:t>
      </w:r>
    </w:p>
    <w:p w:rsidR="00520A83" w:rsidRPr="006C3326" w:rsidRDefault="00520A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katasztrófa-balesetek fedezeti összeghatárának igazolásakor csak az általános vasúti balesetek fedezeti összeghatára fedezettel igazolt része feletti részt kell igazolni.”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24D" w:rsidRDefault="002F524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765" w:rsidRDefault="00CF77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20A83" w:rsidRPr="006C3326" w:rsidRDefault="00520A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Kormányrendelet a fentiek szerint tehát meghatározza a katasztrófa</w:t>
      </w:r>
      <w:r w:rsidR="00AD08A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balesetek fedezeti összeghatára (PML) egyik összetevőjének, a személyi sérüléssel járó károknak (PML1) a minimális értékét az engedélyek</w:t>
      </w:r>
      <w:r w:rsidR="006B1BB2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bejelentések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területi hatálya szerint:</w:t>
      </w:r>
    </w:p>
    <w:p w:rsidR="007C537F" w:rsidRDefault="007C537F" w:rsidP="00D83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0B20" w:rsidRPr="006C3326" w:rsidRDefault="009F118C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PML1(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min)</w:t>
      </w:r>
    </w:p>
    <w:p w:rsidR="009F118C" w:rsidRPr="006C3326" w:rsidRDefault="009F118C" w:rsidP="00D835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és elővárosi vasúti működési engedély és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1.500.000.000 HUF (30.000.000 HUF/fő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EF288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50 fő)</w:t>
      </w:r>
    </w:p>
    <w:p w:rsidR="009F118C" w:rsidRPr="006C3326" w:rsidRDefault="009F118C" w:rsidP="00D835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és városi működési engedély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300.000.000 HUF (30.000.000 HUF/fő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EF288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10 fő)</w:t>
      </w:r>
    </w:p>
    <w:p w:rsidR="009F118C" w:rsidRPr="006C3326" w:rsidRDefault="009F118C" w:rsidP="00D835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Térségi, </w:t>
      </w:r>
      <w:r w:rsidR="00D7325D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célú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7325D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2DC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>keskeny nyomtávolságú vasút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0972DC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múzeumvasút által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="000972DC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iparvágány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>on végzett tevékenységre vonatkozó</w:t>
      </w:r>
      <w:r w:rsidR="00D7325D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72DC"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</w:t>
      </w:r>
      <w:r w:rsidR="00D73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30.000.000 HUF (30.000.000 HUF/fő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EF288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 fő)</w:t>
      </w:r>
    </w:p>
    <w:p w:rsidR="00831C83" w:rsidRPr="007C537F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D95" w:rsidRPr="006C3326" w:rsidRDefault="009F118C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</w:t>
      </w:r>
      <w:r w:rsidR="00AD08A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balesetek fedezeti összeghatára (PML) másik összetevőjének, a dologi károknak (PML2) a minimális értékét a Kormányrendelet nem határozza meg. E módszertani útmutató alkalmazása során – a tapasztalati átlagok alapján – a PML2 minimális értéke </w:t>
      </w:r>
      <w:r w:rsidR="005E39E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1/3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</w:t>
      </w:r>
      <w:r w:rsidR="00C0021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</w:t>
      </w:r>
    </w:p>
    <w:p w:rsidR="007C537F" w:rsidRPr="006C3326" w:rsidRDefault="007C537F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D95" w:rsidRPr="006C3326" w:rsidRDefault="00E13D95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PML2 (min)</w:t>
      </w:r>
    </w:p>
    <w:p w:rsidR="00E13D95" w:rsidRPr="006C3326" w:rsidRDefault="00E13D95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és elővárosi vasúti működési engedély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500.000.000 HUF </w:t>
      </w:r>
    </w:p>
    <w:p w:rsidR="00E13D95" w:rsidRPr="006C3326" w:rsidRDefault="00E13D95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és városi működési engedély, bejelentés 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100.000.000 HUF </w:t>
      </w:r>
    </w:p>
    <w:p w:rsidR="00E13D95" w:rsidRPr="006C3326" w:rsidRDefault="00D85612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612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Térségi, keskeny nyomtávolságú vasút, múzeumvasút által végzett tevékenységre vonatkozó, továbbá iparvágányi és saját célú működési engedély,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</w:t>
      </w:r>
      <w:r w:rsidRPr="00D85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E13D9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10.000.000 HUF </w:t>
      </w:r>
    </w:p>
    <w:p w:rsidR="007C537F" w:rsidRP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D95" w:rsidRPr="006C3326" w:rsidRDefault="00E13D95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következően a katasztrófa</w:t>
      </w:r>
      <w:r w:rsidR="00AD08A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balesetek fedezeti összeghatárának minimális értékei az alábbiak:</w:t>
      </w:r>
    </w:p>
    <w:p w:rsidR="007C537F" w:rsidRPr="006C3326" w:rsidRDefault="007C537F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13D95" w:rsidRPr="006C3326" w:rsidRDefault="00E13D95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PML (min)</w:t>
      </w:r>
      <w:r w:rsidR="00A4773F" w:rsidRPr="006C33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= PML1 (min) + PML2 (min)</w:t>
      </w:r>
    </w:p>
    <w:p w:rsidR="00E13D95" w:rsidRPr="006C3326" w:rsidRDefault="00E13D95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és elővárosi vasúti 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végzésére vonatkozó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</w:t>
      </w:r>
      <w:r w:rsidR="00F0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2.000.000.000 HUF </w:t>
      </w:r>
    </w:p>
    <w:p w:rsidR="00E13D95" w:rsidRPr="006C3326" w:rsidRDefault="00E13D95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és városi </w:t>
      </w:r>
      <w:r w:rsidR="00191708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vasúti 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végzésére vonatkozó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</w:t>
      </w:r>
      <w:r w:rsidR="00F0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 </w:t>
      </w:r>
      <w:r w:rsidR="00191708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r w:rsidR="008E1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400.000.000 HUF </w:t>
      </w:r>
    </w:p>
    <w:p w:rsidR="00E13D95" w:rsidRPr="006C3326" w:rsidRDefault="00F01406" w:rsidP="00D835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Térségi, 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célú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keskeny nyomtávolságú vasút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múzeumvasút 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iparvágány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végzett tevékenységre vonatkozó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E13D9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40.000.000 HUF </w:t>
      </w:r>
    </w:p>
    <w:p w:rsidR="00E13D95" w:rsidRPr="006C3326" w:rsidRDefault="00E13D95" w:rsidP="00D8351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524D" w:rsidRDefault="002F524D" w:rsidP="00D8351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br w:type="page"/>
      </w:r>
    </w:p>
    <w:p w:rsidR="007C537F" w:rsidRPr="006C3326" w:rsidRDefault="003954D6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lastRenderedPageBreak/>
        <w:t xml:space="preserve">II. </w:t>
      </w:r>
      <w:r w:rsidR="00E13D95"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Katasztrófa</w:t>
      </w:r>
      <w:r w:rsidR="00A4773F"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 xml:space="preserve"> -</w:t>
      </w:r>
      <w:r w:rsidR="00E13D95"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 xml:space="preserve"> balesetek fedezeti összeghatárának megállapítása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3D95" w:rsidRPr="006C3326" w:rsidRDefault="00E13D95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</w:t>
      </w:r>
      <w:r w:rsidR="004706D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balesetek fedezeti összeghatárának megállapítása az általános vasúti balesetek</w:t>
      </w:r>
      <w:r w:rsidR="005134C6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nek a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Kormányrendelet előírásai szerint meghatározott fedezeti öss</w:t>
      </w:r>
      <w:r w:rsidR="00B15CAD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zeghatárainak figyelembevételével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CAD" w:rsidRPr="006C3326" w:rsidRDefault="00B15CA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“katasztrófa” fogalmát a keletkezett kár forintban kifejezett mértékével határozzuk meg, vagyis egy meghatározott minimális összeg feletti kár esetén beszélünk katasztrófáról, és egyúttal az általános vasúti balesetek és a katasztrófa-balesetek fedezetéül szolgáló rendszere egymásra épül, így egy önmagában koherens rendszer jön létre.</w:t>
      </w:r>
    </w:p>
    <w:p w:rsidR="002F524D" w:rsidRDefault="002F524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8B" w:rsidRPr="006C3326" w:rsidRDefault="00B15CA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katasztrófa-balesetek esetére vonatkozó biztosítás</w:t>
      </w:r>
      <w:r w:rsidR="00AD08A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garanciaszerződés</w:t>
      </w:r>
      <w:r w:rsidR="00EF288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válik érvényesíthetőv</w:t>
      </w:r>
      <w:r w:rsidR="00DB6772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a megállapított kárösszeg nagyobb a </w:t>
      </w:r>
      <w:r w:rsidR="00AD08A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Kormányrendelet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vasúttársaság számára megállapított általános vasúti kárfedezeti összegnél. Azaz a katasztrófa-balesetek esetén az általános balesetekre vonatkozó biztosíték mintegy “önrészként” működik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katasztrófa esetére biztosított fedezet (biztosítás, </w:t>
      </w:r>
      <w:r w:rsidR="00EF2880">
        <w:rPr>
          <w:rFonts w:ascii="Times New Roman" w:eastAsia="Times New Roman" w:hAnsi="Times New Roman" w:cs="Times New Roman"/>
          <w:sz w:val="24"/>
          <w:szCs w:val="24"/>
          <w:lang w:eastAsia="hu-HU"/>
        </w:rPr>
        <w:t>garanciaszerződés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) akkor vehető igénybe, ha a fedezet “első szintje”, az általános baleseti felelősségbiztosítás már kimerült.</w:t>
      </w:r>
    </w:p>
    <w:p w:rsidR="002F524D" w:rsidRDefault="002F524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28B" w:rsidRPr="006C3326" w:rsidRDefault="00AD08A5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ne fordulhasson elő olyan helyzet, amikor a megállapított kárösszeg nagyobb az általános vasúti balesetekre megállapított fedezeti összeghatárnál – így ebben az esetben ez a fedezet elégtelen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, de nem éri el azt a minimális összeget, amely fölött az adott engedélyes vonatkozásában katasztrófáról beszélhetünk – vagyis a katasztrófa-baleset vagyoni biztosítéka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nem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vehető 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3F328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, ez utóbbi összeghatárnak meg kell egyeznie a Kormányrendeletben előírt általános vasúti balesetek vonatkozásában az adott vasúti társaságra irányadó fedezeti összeghatárral.</w:t>
      </w:r>
      <w:proofErr w:type="gramEnd"/>
    </w:p>
    <w:p w:rsidR="002F524D" w:rsidRDefault="002F524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6772" w:rsidRPr="006C3326" w:rsidRDefault="003F328B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katasztrófakárok esetére előírt fedezeti összeghatár ezek alapján a Kormányrendelet előírásai szerint az általános vasúti balesetek </w:t>
      </w:r>
      <w:r w:rsidR="00DB6772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esetére számított fedezeti összeghatár meghatározott többszöröse, de legalább az I.</w:t>
      </w:r>
      <w:r w:rsidR="00D85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6772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pontban leírt minimum összeg (PML (min)):</w:t>
      </w:r>
    </w:p>
    <w:p w:rsidR="007C537F" w:rsidRDefault="007C537F" w:rsidP="00D835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15CAD" w:rsidRDefault="00DB6772" w:rsidP="00D835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PML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=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</w:t>
      </w:r>
      <w:r w:rsidR="00FF5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FF5F2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</w:p>
    <w:p w:rsidR="007C537F" w:rsidRPr="006C3326" w:rsidRDefault="007C537F" w:rsidP="00D835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6772" w:rsidRPr="006C3326" w:rsidRDefault="00DB6772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DB6772" w:rsidRPr="006C3326" w:rsidRDefault="00DB6772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PML = katasztrófa balesetek fedezeti összeghatára</w:t>
      </w:r>
    </w:p>
    <w:p w:rsidR="00DB6772" w:rsidRPr="006C3326" w:rsidRDefault="00DB6772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= általános vasúti balesetek fedezeti összeghatára a Kormányrendelet 1. mellékletének 1.-10. pontja szerint számítva működési engedélyenként, bejelentésenként</w:t>
      </w:r>
    </w:p>
    <w:p w:rsidR="00DB6772" w:rsidRPr="006C3326" w:rsidRDefault="00DB6772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F03B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országos és elővárosi vasúti </w:t>
      </w:r>
      <w:r w:rsidR="00496B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tevékenységre vonatkozó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engedély, bejelentés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B6772" w:rsidRPr="006C3326" w:rsidRDefault="00DB6772" w:rsidP="00D8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F03B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1,5 helyi</w:t>
      </w:r>
      <w:r w:rsidR="00364E63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</w:t>
      </w:r>
      <w:r w:rsidR="00A4773F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4E63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A4773F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térségi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vasúti </w:t>
      </w:r>
      <w:r w:rsidR="00496B3A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tevékenységre vonatkozó</w:t>
      </w:r>
      <w:r w:rsidR="00496B3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engedély, bejelentés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B6772" w:rsidRPr="006C3326" w:rsidRDefault="00DB6772" w:rsidP="00D8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</w:t>
      </w:r>
      <w:r w:rsidR="00F03B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1,3 </w:t>
      </w:r>
      <w:r w:rsidR="004E410E" w:rsidRPr="004E410E">
        <w:rPr>
          <w:rFonts w:ascii="Times New Roman" w:eastAsia="Times New Roman" w:hAnsi="Times New Roman" w:cs="Times New Roman"/>
          <w:sz w:val="24"/>
          <w:szCs w:val="24"/>
          <w:lang w:eastAsia="hu-HU"/>
        </w:rPr>
        <w:t>keskeny nyomtávolságú vasút, múzeumvasút által végzett tevékenység</w:t>
      </w:r>
      <w:r w:rsidR="00496B3A">
        <w:rPr>
          <w:rFonts w:ascii="Times New Roman" w:eastAsia="Times New Roman" w:hAnsi="Times New Roman" w:cs="Times New Roman"/>
          <w:sz w:val="24"/>
          <w:szCs w:val="24"/>
          <w:lang w:eastAsia="hu-HU"/>
        </w:rPr>
        <w:t>re vonatkozó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95B75" w:rsidRDefault="00095B75" w:rsidP="00D8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=</w:t>
      </w:r>
      <w:r w:rsidR="00B92F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3B0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1,</w:t>
      </w:r>
      <w:proofErr w:type="spell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célú, 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iparvágányon végzett vasúti</w:t>
      </w:r>
      <w:r w:rsidR="00A4773F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="00496B3A">
        <w:rPr>
          <w:rFonts w:ascii="Times New Roman" w:eastAsia="Times New Roman" w:hAnsi="Times New Roman" w:cs="Times New Roman"/>
          <w:sz w:val="24"/>
          <w:szCs w:val="24"/>
          <w:lang w:eastAsia="hu-HU"/>
        </w:rPr>
        <w:t>re vonatkozó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</w:t>
      </w:r>
      <w:r w:rsidR="000C31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a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baleseti fedezeti összeghatá</w:t>
      </w:r>
      <w:r w:rsidR="002836C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megállapításához.</w:t>
      </w:r>
    </w:p>
    <w:p w:rsidR="00191708" w:rsidRPr="006C3326" w:rsidRDefault="00191708" w:rsidP="00D8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37F" w:rsidRDefault="00430797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így számított PML </w:t>
      </w: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&lt; PML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(min) , akkor az adott esetben PML (min) a katasztrófa</w:t>
      </w:r>
      <w:r w:rsidR="004A1772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baleseti fedezeti összeghatár.</w:t>
      </w:r>
    </w:p>
    <w:p w:rsidR="00CF7765" w:rsidRDefault="00CF77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30797" w:rsidRPr="006C3326" w:rsidRDefault="00430797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számítási módszertan biztosítja, hogy</w:t>
      </w:r>
    </w:p>
    <w:p w:rsidR="00430797" w:rsidRPr="006C3326" w:rsidRDefault="00B65F11" w:rsidP="00D835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vasúti társaság saját teljesítményparaméterei alapján ki tudja számítani a rá irányadó fedezeti összeghatárt;</w:t>
      </w:r>
    </w:p>
    <w:p w:rsidR="00B65F11" w:rsidRPr="006C3326" w:rsidRDefault="00B65F11" w:rsidP="00D835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előírt összeghatár nagysága – összhangban a Kormányrendelettel – figyelembe veszi a tevékenység jellegét, nem csak a területi hatályát;</w:t>
      </w:r>
    </w:p>
    <w:p w:rsidR="00B65F11" w:rsidRPr="006C3326" w:rsidRDefault="00B65F11" w:rsidP="00D8351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katasztrófa-balesetekre érvényes vagyoni biztosíték nagysága és igénybevételi lehetősége összhangban van az általános vasúti balesetekre nyújtott vagyoni biztosítékokkal.</w:t>
      </w:r>
    </w:p>
    <w:p w:rsidR="002F524D" w:rsidRDefault="002F524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F11" w:rsidRPr="006C3326" w:rsidRDefault="00B65F11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számítási módszertan összhangban van a Kormányrendelet 1. mellékletének 11. pontjában megadott összefüggéssel, miszerint</w:t>
      </w:r>
    </w:p>
    <w:p w:rsidR="007C537F" w:rsidRDefault="007C537F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5F11" w:rsidRDefault="00B65F11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PML = PML1 + PML2,</w:t>
      </w:r>
    </w:p>
    <w:p w:rsidR="007C537F" w:rsidRPr="006C3326" w:rsidRDefault="007C537F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5F11" w:rsidRDefault="00B65F11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lehetséges legnagyobb kár a személyi sérülésből adódó károk és dologi károk összege.</w:t>
      </w:r>
    </w:p>
    <w:p w:rsidR="005545B0" w:rsidRPr="006C3326" w:rsidRDefault="005545B0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5F11" w:rsidRPr="006C3326" w:rsidRDefault="00B65F11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megadott minimális PML összegek garantálják, hogy a kárfedezeti biztosíték összege meg fogja haladni a személyi </w:t>
      </w:r>
      <w:r w:rsidR="008058E7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sérülésből adódó károknak a rendelet mellékletében megadott paraméterek szerinti értékét, vagyis igaz az az összefüggés, hogy</w:t>
      </w:r>
    </w:p>
    <w:p w:rsidR="007C537F" w:rsidRDefault="007C537F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8E7" w:rsidRPr="006C3326" w:rsidRDefault="008058E7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</w:t>
      </w:r>
      <w:r w:rsidR="00FF5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FF5F2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proofErr w:type="gram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&gt;PML1</w:t>
      </w:r>
      <w:proofErr w:type="gramEnd"/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8E7" w:rsidRDefault="008058E7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Kormányrendelet paraméterei szerint meghatározott PML1-nél (azaz országos és elővárosi</w:t>
      </w:r>
      <w:r w:rsidR="000078C5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680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D9779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680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</w:t>
      </w:r>
      <w:r w:rsidR="005545B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5545B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D9779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</w:t>
      </w:r>
      <w:r w:rsid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97791" w:rsidRP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779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célú</w:t>
      </w:r>
      <w:r w:rsidR="00C42EFB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545B0">
        <w:rPr>
          <w:rFonts w:ascii="Times New Roman" w:eastAsia="Times New Roman" w:hAnsi="Times New Roman" w:cs="Times New Roman"/>
          <w:sz w:val="24"/>
          <w:szCs w:val="24"/>
          <w:lang w:eastAsia="hu-HU"/>
        </w:rPr>
        <w:t>keskeny nyomtávolságú vasút</w:t>
      </w:r>
      <w:r w:rsid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B92F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F5687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múzeumvasút</w:t>
      </w:r>
      <w:r w:rsidR="00554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</w:t>
      </w:r>
      <w:r w:rsidR="00D977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iparvágányon</w:t>
      </w:r>
      <w:r w:rsidR="00554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 tevékenységre vonatkozó</w:t>
      </w:r>
      <w:r w:rsidR="00EF5687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577F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02577F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es</w:t>
      </w:r>
      <w:r w:rsidR="005545B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tén rendre 1.500 millió, 30</w:t>
      </w:r>
      <w:r w:rsidR="009C680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millió, 30 millió</w:t>
      </w:r>
      <w:r w:rsidR="009C680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32D1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HUF</w:t>
      </w: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) nagyobb összeget megkövetelni önkényes és megalapozatlan lenne, így ebben az egyenlőségben PML1 is konstansként szerepel. Ezek után az azonosságokat felhasználva látszik az az összefüggés, hogy</w:t>
      </w:r>
    </w:p>
    <w:p w:rsidR="007C537F" w:rsidRPr="006C3326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8E7" w:rsidRPr="006C3326" w:rsidRDefault="008058E7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PML2 = (k </w:t>
      </w:r>
      <w:r w:rsidR="00FF5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FF5F2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– PML1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8E7" w:rsidRDefault="008058E7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 a számított dologi kár összege is mindig egyértelműen meghatározható</w:t>
      </w:r>
      <w:r w:rsidR="00A23374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mindig teljesül </w:t>
      </w:r>
      <w:proofErr w:type="gramStart"/>
      <w:r w:rsidR="00A23374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7C537F" w:rsidRPr="006C3326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3374" w:rsidRDefault="00A23374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</w:t>
      </w:r>
      <w:r w:rsidR="00FF5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FF5F2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PML1+PML2</w:t>
      </w:r>
    </w:p>
    <w:p w:rsidR="007C537F" w:rsidRPr="006C3326" w:rsidRDefault="007C537F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3374" w:rsidRDefault="00A23374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összefüggés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1395" w:rsidRDefault="00111395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654" w:rsidRDefault="00C56654" w:rsidP="00D83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730B5" w:rsidRDefault="005730B5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</w:p>
    <w:p w:rsidR="00464236" w:rsidRPr="006C3326" w:rsidRDefault="005F38A3" w:rsidP="00D8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 xml:space="preserve">III. </w:t>
      </w:r>
      <w:r w:rsidR="00464236" w:rsidRPr="006C33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u-HU"/>
        </w:rPr>
        <w:t>Katasztrófa balesetek fedezeti összeghatárának meghatározása működési engedély, bejelentés típusonként</w:t>
      </w:r>
    </w:p>
    <w:p w:rsidR="007C537F" w:rsidRDefault="007C537F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0B5" w:rsidRDefault="005730B5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4236" w:rsidRPr="006C3326" w:rsidRDefault="002232D1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64236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Kormányrendelet 1. mellékl</w:t>
      </w:r>
      <w:r w:rsidR="00692DEF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etének pontjai szerint haladva, részletesebb bontásban:</w:t>
      </w:r>
    </w:p>
    <w:p w:rsidR="00D744FF" w:rsidRPr="006C3326" w:rsidRDefault="00D744FF" w:rsidP="00D83515">
      <w:pPr>
        <w:pStyle w:val="Listaszerbekezds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2DEF" w:rsidRPr="006C3326" w:rsidRDefault="005F38A3" w:rsidP="00D83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92DE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2232D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692DE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</w:t>
      </w:r>
      <w:r w:rsidR="002232D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692DE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fedezeti összeghatárának számítása országos és elővárosi vasúti személyszállítási </w:t>
      </w:r>
      <w:r w:rsidR="004700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 végzésére vonatkozó </w:t>
      </w:r>
      <w:r w:rsidR="00692DE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engedély esetén</w:t>
      </w:r>
    </w:p>
    <w:p w:rsidR="00692DEF" w:rsidRPr="006C3326" w:rsidRDefault="00692DEF" w:rsidP="00D83515">
      <w:pPr>
        <w:pStyle w:val="Listaszerbekezds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7171" w:rsidRPr="006C3326" w:rsidRDefault="00692DEF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15D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2 x (s x 3) / 40 HUF, azaz (s x 3) / 20 HUF</w:t>
      </w:r>
    </w:p>
    <w:p w:rsidR="009B665E" w:rsidRPr="006C3326" w:rsidRDefault="009B665E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92DEF" w:rsidRPr="006C3326" w:rsidRDefault="00692DE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2.000 millió HUF,</w:t>
      </w:r>
    </w:p>
    <w:p w:rsidR="00692DEF" w:rsidRPr="006C3326" w:rsidRDefault="00692DE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692DEF" w:rsidRPr="006C3326" w:rsidRDefault="00692DEF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= </w:t>
      </w:r>
      <w:r w:rsidRPr="006C332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C3326">
        <w:rPr>
          <w:rFonts w:ascii="Times New Roman" w:hAnsi="Times New Roman" w:cs="Times New Roman"/>
          <w:sz w:val="24"/>
          <w:szCs w:val="24"/>
        </w:rPr>
        <w:t>EGT-államok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területén vagy az adott elővárosi vasúti pályahálózaton megvalósuló, a tárgyévet követő évre tervezett összes utaskilométer.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2DEF" w:rsidRPr="006C3326" w:rsidRDefault="005F38A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B5E8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balesetek fedezeti összeghatárának számítása országos és elővárosi vasúti árutovábbítási </w:t>
      </w:r>
      <w:r w:rsidR="004700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tevékenység végzésére vonatkozó 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engedély esetén</w:t>
      </w:r>
    </w:p>
    <w:p w:rsidR="007C537F" w:rsidRDefault="007C537F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B03" w:rsidRPr="006C3326" w:rsidRDefault="00D744FF" w:rsidP="00D83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(8 x a1 + 6 x a2) / 50 HUF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4FF" w:rsidRPr="006C3326" w:rsidRDefault="00D744F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2.000 millió HUF,</w:t>
      </w:r>
    </w:p>
    <w:p w:rsidR="00D744FF" w:rsidRPr="006C3326" w:rsidRDefault="00D744F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D744FF" w:rsidRPr="006C3326" w:rsidRDefault="00D744FF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a1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az </w:t>
      </w:r>
      <w:proofErr w:type="spellStart"/>
      <w:r w:rsidRPr="006C3326">
        <w:rPr>
          <w:rFonts w:ascii="Times New Roman" w:hAnsi="Times New Roman" w:cs="Times New Roman"/>
          <w:sz w:val="24"/>
          <w:szCs w:val="24"/>
        </w:rPr>
        <w:t>EGT-államok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területén vagy az adott elővárosi vasúti pályahálózaton várhatóan megvalósuló veszélyes áru továbbítás összes árutonna-kilométer teljesítménye,</w:t>
      </w:r>
    </w:p>
    <w:p w:rsidR="00D744FF" w:rsidRPr="006C3326" w:rsidRDefault="00D744FF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a2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az </w:t>
      </w:r>
      <w:proofErr w:type="spellStart"/>
      <w:r w:rsidRPr="006C3326">
        <w:rPr>
          <w:rFonts w:ascii="Times New Roman" w:hAnsi="Times New Roman" w:cs="Times New Roman"/>
          <w:sz w:val="24"/>
          <w:szCs w:val="24"/>
        </w:rPr>
        <w:t>EGT-államok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területén vagy az adott elővárosi vasúti pályahálózaton várhatóan megvalósuló nem veszélyes áru továbbítás összes árutonna-kilométer teljesítménye.</w:t>
      </w:r>
    </w:p>
    <w:p w:rsidR="007C537F" w:rsidRPr="006C3326" w:rsidRDefault="007C537F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FF" w:rsidRPr="006C3326" w:rsidRDefault="009E4B0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B0101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B5E8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balesetek fedezeti összeghatárának számítása </w:t>
      </w:r>
      <w:r w:rsidR="004700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és elővárosi 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vontatási </w:t>
      </w:r>
      <w:r w:rsidR="008579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szolgáltatás nyújtására vonatkozó</w:t>
      </w:r>
      <w:r w:rsidR="00D744F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működési engedély esetén</w:t>
      </w:r>
    </w:p>
    <w:p w:rsidR="007C537F" w:rsidRDefault="007C537F" w:rsidP="00D83515">
      <w:pPr>
        <w:tabs>
          <w:tab w:val="left" w:pos="1134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4FF" w:rsidRDefault="00D744FF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v x 2.000.000 HUF</w:t>
      </w:r>
    </w:p>
    <w:p w:rsidR="007C537F" w:rsidRPr="006C3326" w:rsidRDefault="007C537F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744FF" w:rsidRPr="006C3326" w:rsidRDefault="00D744F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2.000 millió HUF,</w:t>
      </w:r>
    </w:p>
    <w:p w:rsidR="00D744FF" w:rsidRPr="006C3326" w:rsidRDefault="00D744F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D744FF" w:rsidRPr="006C3326" w:rsidRDefault="00D744FF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v = Az </w:t>
      </w:r>
      <w:proofErr w:type="spellStart"/>
      <w:r w:rsidRPr="006C3326">
        <w:rPr>
          <w:rFonts w:ascii="Times New Roman" w:hAnsi="Times New Roman" w:cs="Times New Roman"/>
          <w:sz w:val="24"/>
          <w:szCs w:val="24"/>
        </w:rPr>
        <w:t>EGT-államok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területén vagy az adott elővárosi vasúti pályahálózaton, a tárgyévet követő évben várhatóan dolgozó vontató járművek száma.</w:t>
      </w:r>
    </w:p>
    <w:p w:rsidR="000C3116" w:rsidRDefault="000C3116" w:rsidP="00D83515">
      <w:pPr>
        <w:pStyle w:val="Listaszerbekezds"/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</w:p>
    <w:p w:rsidR="005730B5" w:rsidRDefault="005730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8B5B38" w:rsidRPr="006C3326" w:rsidRDefault="009E4B0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4. </w:t>
      </w:r>
      <w:r w:rsidR="008B5B3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B5E8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8B5B3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balesetek fedezeti összeghatárának számítása országos és elővárosi </w:t>
      </w:r>
      <w:r w:rsidR="007C5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B5B3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asúti</w:t>
      </w:r>
      <w:r w:rsidR="00B60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5B3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pályahálózat</w:t>
      </w:r>
      <w:r w:rsidR="00B60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4700D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</w:t>
      </w:r>
      <w:r w:rsidR="004700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tevékenység végzésére</w:t>
      </w:r>
      <w:r w:rsidR="004700D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B5B3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bejelentés esetén</w:t>
      </w:r>
    </w:p>
    <w:p w:rsidR="007C537F" w:rsidRDefault="007C537F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665E" w:rsidRDefault="0000474B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(600.000 x p1 + 200.000 x p2) / 3 HUF</w:t>
      </w:r>
    </w:p>
    <w:p w:rsidR="007C537F" w:rsidRPr="006C3326" w:rsidRDefault="007C537F" w:rsidP="00D83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0474B" w:rsidRPr="006C3326" w:rsidRDefault="0000474B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2.000 millió HUF,</w:t>
      </w:r>
    </w:p>
    <w:p w:rsidR="0000474B" w:rsidRPr="006C3326" w:rsidRDefault="0000474B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00474B" w:rsidRPr="006C3326" w:rsidRDefault="0000474B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p1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vasúti társaság által működtetett teljes nyílt hozzáférésű vasúti pályahálózat építési hossza kilométerben a tárgyévet követő évben,</w:t>
      </w:r>
    </w:p>
    <w:p w:rsidR="0000474B" w:rsidRPr="006C3326" w:rsidRDefault="0000474B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p2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vasúti társaság által működtetett teljes nyílt hozzáféréstől mentesített vasúti pályahálózat építési hossza kilométerben a tárgyévet követő évben.</w:t>
      </w:r>
    </w:p>
    <w:p w:rsidR="0000474B" w:rsidRDefault="0000474B" w:rsidP="00D83515">
      <w:pPr>
        <w:pStyle w:val="Listaszerbekezds"/>
        <w:spacing w:after="0" w:line="240" w:lineRule="auto"/>
        <w:ind w:left="658"/>
        <w:rPr>
          <w:rFonts w:ascii="Times New Roman" w:hAnsi="Times New Roman" w:cs="Times New Roman"/>
          <w:sz w:val="24"/>
          <w:szCs w:val="24"/>
        </w:rPr>
      </w:pPr>
    </w:p>
    <w:p w:rsidR="00E415D2" w:rsidRDefault="009B665E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BC2FA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B5E8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BC2FA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</w:t>
      </w:r>
      <w:r w:rsidR="001F3A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C2FA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fedezeti összeghatárának számítása térségi vasúti</w:t>
      </w:r>
      <w:r w:rsidR="007C5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65785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személyszállítás</w:t>
      </w:r>
      <w:r w:rsidR="00A6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tevékenység végzésére </w:t>
      </w:r>
      <w:r w:rsidR="003D6373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működési engedély esetén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665E" w:rsidRDefault="003D637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0,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 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665E" w:rsidRPr="006C3326" w:rsidRDefault="003D6373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</w:t>
      </w:r>
      <w:r w:rsidR="00A66029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40 millió HUF,</w:t>
      </w:r>
    </w:p>
    <w:p w:rsidR="00A66029" w:rsidRPr="006C3326" w:rsidRDefault="00A66029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A66029" w:rsidRPr="006C3326" w:rsidRDefault="009B665E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029" w:rsidRPr="006C332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66029"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A66029"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6029"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utaskilométer teljesítmény.</w:t>
      </w:r>
    </w:p>
    <w:p w:rsidR="00BD422A" w:rsidRPr="006C3326" w:rsidRDefault="00BD422A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2E1FA1" w:rsidRPr="006C3326" w:rsidRDefault="009B665E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katasztrófa-balesetek fedezeti összeghatárának számítása </w:t>
      </w:r>
      <w:r w:rsidR="00A71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keskeny nyomtávolságú vasút</w:t>
      </w:r>
      <w:r w:rsidR="00A7144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múzeumvasút </w:t>
      </w:r>
      <w:r w:rsidR="00A71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 végzett 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személyszállítási 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szolgáltatás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esetén </w:t>
      </w:r>
    </w:p>
    <w:p w:rsidR="002E1FA1" w:rsidRPr="006C3326" w:rsidRDefault="002E1FA1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665E" w:rsidRDefault="00BD422A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0,52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422A" w:rsidRPr="006C3326" w:rsidRDefault="00576AC4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D422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="00BD422A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BD422A" w:rsidRPr="006C3326" w:rsidRDefault="00BD422A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BD422A" w:rsidRPr="006C3326" w:rsidRDefault="00BD422A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utaskilométer teljesítmény.</w:t>
      </w:r>
    </w:p>
    <w:p w:rsidR="00831C83" w:rsidRPr="006C3326" w:rsidRDefault="00831C83" w:rsidP="00D83515">
      <w:pPr>
        <w:pStyle w:val="Listaszerbekezds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FA1" w:rsidRDefault="00576AC4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="00A66029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B5E8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66029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iparvágányon vagy saját célú vasúti pályahálózaton végzett vasúti személyközlekedtetési tevékenység esetén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AC4" w:rsidRDefault="00A66029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0,44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6029" w:rsidRPr="006C3326" w:rsidRDefault="00A66029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A66029" w:rsidRPr="006C3326" w:rsidRDefault="00A66029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A66029" w:rsidRPr="006C3326" w:rsidRDefault="00A66029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utaskilométer teljesítmény.</w:t>
      </w:r>
    </w:p>
    <w:p w:rsidR="00096FD7" w:rsidRPr="006C3326" w:rsidRDefault="00096FD7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A66029" w:rsidRPr="006C3326" w:rsidRDefault="00576AC4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="00A66029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375BF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A66029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helyi és városi vasúti személyszállítás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tevékenység végzésére </w:t>
      </w:r>
      <w:r w:rsidR="00A66029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vonatkozó </w:t>
      </w:r>
      <w:r w:rsidR="00096FD7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engedély esetén</w:t>
      </w:r>
    </w:p>
    <w:p w:rsidR="00096FD7" w:rsidRPr="006C3326" w:rsidRDefault="00096FD7" w:rsidP="00D83515">
      <w:pPr>
        <w:pStyle w:val="Listaszerbekezds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5EF" w:rsidRPr="006C3326" w:rsidRDefault="00096FD7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1,5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sh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 100 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HUF</w:t>
      </w:r>
    </w:p>
    <w:p w:rsidR="00FC15EF" w:rsidRPr="006C3326" w:rsidRDefault="00FC15EF" w:rsidP="00D83515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FD7" w:rsidRPr="006C3326" w:rsidRDefault="00096FD7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400 millió HUF,</w:t>
      </w:r>
    </w:p>
    <w:p w:rsidR="00096FD7" w:rsidRPr="006C3326" w:rsidRDefault="00096FD7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096FD7" w:rsidRPr="006C3326" w:rsidRDefault="00096FD7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férőhely-kilométer teljesítmény.</w:t>
      </w:r>
    </w:p>
    <w:p w:rsidR="00096FD7" w:rsidRDefault="00096FD7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B32958" w:rsidRDefault="00576AC4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9. </w:t>
      </w:r>
      <w:r w:rsidR="00096FD7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096FD7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térségi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árutovábbítás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tevékenység végzésére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96FD7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vonatkozó működési engedély esetén  </w:t>
      </w:r>
    </w:p>
    <w:p w:rsidR="00831C83" w:rsidRPr="006C3326" w:rsidRDefault="00831C83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32958" w:rsidRDefault="00B32958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1,</w:t>
      </w:r>
      <w:r w:rsidR="00BD422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/50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2958" w:rsidRPr="006C3326" w:rsidRDefault="00B3295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B32958" w:rsidRPr="006C3326" w:rsidRDefault="00B3295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B32958" w:rsidRPr="006C3326" w:rsidRDefault="00B3295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árutonna-kilométer teljesítmény.</w:t>
      </w:r>
    </w:p>
    <w:p w:rsidR="00E75A86" w:rsidRPr="006C3326" w:rsidRDefault="00E75A86" w:rsidP="00E75A86">
      <w:p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</w:p>
    <w:p w:rsidR="002E4E18" w:rsidRPr="006C3326" w:rsidRDefault="00576AC4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</w:t>
      </w:r>
      <w:r w:rsidR="00CE311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katasztrófa-balesetek fedezeti összeghatárának számítása</w:t>
      </w:r>
      <w:r w:rsidR="00A60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és városi</w:t>
      </w:r>
      <w:r w:rsidR="00CE311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árutovábbítás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tevékenység végzésére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vonatkozó működési engedély esetén  </w:t>
      </w:r>
    </w:p>
    <w:p w:rsidR="00831C83" w:rsidRDefault="00831C83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4E18" w:rsidRPr="006C3326" w:rsidRDefault="002E4E18" w:rsidP="00D83515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1,5/50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E18" w:rsidRPr="006C3326" w:rsidRDefault="002E4E1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400 millió HUF,</w:t>
      </w:r>
    </w:p>
    <w:p w:rsidR="002E4E18" w:rsidRPr="006C3326" w:rsidRDefault="002E4E1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2E4E18" w:rsidRPr="006C3326" w:rsidRDefault="002E4E1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árutonna-kilométer teljesítmény.</w:t>
      </w:r>
    </w:p>
    <w:p w:rsidR="00576AC4" w:rsidRPr="006C3326" w:rsidRDefault="00576AC4" w:rsidP="00D83515">
      <w:pPr>
        <w:spacing w:after="0" w:line="240" w:lineRule="auto"/>
        <w:ind w:left="301"/>
        <w:jc w:val="both"/>
        <w:rPr>
          <w:rFonts w:ascii="Times New Roman" w:hAnsi="Times New Roman" w:cs="Times New Roman"/>
          <w:sz w:val="24"/>
          <w:szCs w:val="24"/>
        </w:rPr>
      </w:pPr>
    </w:p>
    <w:p w:rsidR="002E4E18" w:rsidRPr="006C3326" w:rsidRDefault="00576AC4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="00B3295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B3295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F020F" w:rsidRPr="00EF02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keskeny nyomtávolságú vasút által végzett </w:t>
      </w:r>
      <w:r w:rsidR="00C757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árutovábbítási tevéke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nység esetén</w:t>
      </w:r>
    </w:p>
    <w:p w:rsidR="002E4E18" w:rsidRPr="006C3326" w:rsidRDefault="002E4E18" w:rsidP="00D83515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E18" w:rsidRPr="006C3326" w:rsidRDefault="002E4E18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1,3/50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E18" w:rsidRPr="006C3326" w:rsidRDefault="002E4E1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2E4E18" w:rsidRPr="006C3326" w:rsidRDefault="002E4E1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2E4E18" w:rsidRPr="006C3326" w:rsidRDefault="002E4E1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árutonna-kilométer teljesítmény.</w:t>
      </w:r>
    </w:p>
    <w:p w:rsidR="002E4E18" w:rsidRPr="006C3326" w:rsidRDefault="002E4E1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58" w:rsidRPr="006C3326" w:rsidRDefault="002E4E1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</w:t>
      </w:r>
      <w:r w:rsidR="00B3295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katasztrófa-balesetek fedezeti összeghatárának számítása </w:t>
      </w:r>
      <w:r w:rsidR="00B3295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iparvágányon 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végzett </w:t>
      </w:r>
      <w:r w:rsidR="00B3295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saját célú vasúti 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áru</w:t>
      </w:r>
      <w:r w:rsidR="003034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továbbítás</w:t>
      </w:r>
      <w:r w:rsidR="0030346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tevékenység</w:t>
      </w:r>
      <w:r w:rsidR="00890FA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esetén</w:t>
      </w:r>
    </w:p>
    <w:p w:rsidR="002E1FA1" w:rsidRPr="006C3326" w:rsidRDefault="002E1FA1" w:rsidP="00D83515">
      <w:pPr>
        <w:pStyle w:val="Listaszerbekezds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0FAF" w:rsidRPr="006C3326" w:rsidRDefault="00890FAF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1,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/50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HUF</w:t>
      </w:r>
    </w:p>
    <w:p w:rsidR="00831C83" w:rsidRDefault="00831C83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FAF" w:rsidRPr="006C3326" w:rsidRDefault="00890FAF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890FAF" w:rsidRPr="006C3326" w:rsidRDefault="00890FAF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890FAF" w:rsidRPr="006C3326" w:rsidRDefault="00890FAF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tárgyévet követő évben tervezett összes árutonna-kilométer teljesítmény.</w:t>
      </w:r>
    </w:p>
    <w:p w:rsidR="005F2647" w:rsidRDefault="005F2647" w:rsidP="00D83515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1FA1" w:rsidRPr="006C3326" w:rsidRDefault="00FC15E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90FA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890FA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vontatási szolgáltatás nyújtására jogosító térségi működési engedély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0FAF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esetén</w:t>
      </w:r>
    </w:p>
    <w:p w:rsidR="00831C83" w:rsidRDefault="00831C8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62D6" w:rsidRPr="006C3326" w:rsidRDefault="006A62D6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HUF</w:t>
      </w:r>
    </w:p>
    <w:p w:rsidR="00831C83" w:rsidRDefault="00831C83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2D6" w:rsidRPr="006C3326" w:rsidRDefault="006A62D6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6A62D6" w:rsidRPr="006C3326" w:rsidRDefault="006A62D6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464350" w:rsidRPr="006C3326" w:rsidRDefault="006A62D6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a térségi</w:t>
      </w:r>
      <w:r w:rsidR="002E4E18" w:rsidRPr="006C3326">
        <w:rPr>
          <w:rFonts w:ascii="Times New Roman" w:hAnsi="Times New Roman" w:cs="Times New Roman"/>
          <w:sz w:val="24"/>
          <w:szCs w:val="24"/>
        </w:rPr>
        <w:t xml:space="preserve"> </w:t>
      </w:r>
      <w:r w:rsidRPr="006C3326">
        <w:rPr>
          <w:rFonts w:ascii="Times New Roman" w:hAnsi="Times New Roman" w:cs="Times New Roman"/>
          <w:sz w:val="24"/>
          <w:szCs w:val="24"/>
        </w:rPr>
        <w:t xml:space="preserve">vasúti pályahálózaton a tárgyévet követő évben várhatóan dolgozó vontató </w:t>
      </w:r>
    </w:p>
    <w:p w:rsidR="006A62D6" w:rsidRPr="006C3326" w:rsidRDefault="00464350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2D6" w:rsidRPr="006C3326">
        <w:rPr>
          <w:rFonts w:ascii="Times New Roman" w:hAnsi="Times New Roman" w:cs="Times New Roman"/>
          <w:sz w:val="24"/>
          <w:szCs w:val="24"/>
        </w:rPr>
        <w:t>járművek</w:t>
      </w:r>
      <w:proofErr w:type="gramEnd"/>
      <w:r w:rsidR="006A62D6" w:rsidRPr="006C3326">
        <w:rPr>
          <w:rFonts w:ascii="Times New Roman" w:hAnsi="Times New Roman" w:cs="Times New Roman"/>
          <w:sz w:val="24"/>
          <w:szCs w:val="24"/>
        </w:rPr>
        <w:t xml:space="preserve"> száma.</w:t>
      </w:r>
    </w:p>
    <w:p w:rsidR="006A62D6" w:rsidRPr="006C3326" w:rsidRDefault="006A62D6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E75A86" w:rsidRDefault="00E75A8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2E4E18" w:rsidRPr="006C3326" w:rsidRDefault="00FC15EF" w:rsidP="005738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katasztrófa-balesetek fedezeti összeghatárának számítása</w:t>
      </w:r>
      <w:r w:rsidR="002E4E1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vontatási szolgáltatás nyújtására jogosító helyi és városi működési engedély esetén</w:t>
      </w:r>
    </w:p>
    <w:p w:rsidR="00831C83" w:rsidRDefault="00831C83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4E18" w:rsidRPr="006C3326" w:rsidRDefault="002E4E18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300.000 HUF</w:t>
      </w:r>
    </w:p>
    <w:p w:rsidR="00831C83" w:rsidRDefault="002E4E18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E4E18" w:rsidRPr="006C3326" w:rsidRDefault="002E4E18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400 millió HUF,</w:t>
      </w:r>
    </w:p>
    <w:p w:rsidR="002E4E18" w:rsidRPr="006C3326" w:rsidRDefault="002E4E18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2E4E18" w:rsidRPr="006C3326" w:rsidRDefault="002E4E1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a helyi, városi vasúti pályahálózaton a tárgyévet követő évben várhatóan dolgozó vontató járművek száma.</w:t>
      </w:r>
    </w:p>
    <w:p w:rsidR="000C3116" w:rsidRPr="006C3326" w:rsidRDefault="000C3116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62D6" w:rsidRPr="006C3326" w:rsidRDefault="00FC15E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B4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6A62D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FF53B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6A62D6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balesetek fedezeti összeghatárának számítása </w:t>
      </w:r>
      <w:r w:rsidR="006A62D6" w:rsidRPr="006C332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kizárólag iparvágányon vagy a saját célú vasúti pályahálózaton végzett vasúti vontatási </w:t>
      </w:r>
      <w:r w:rsidR="00C75575">
        <w:rPr>
          <w:rFonts w:ascii="Times New Roman" w:hAnsi="Times New Roman" w:cs="Times New Roman"/>
          <w:b/>
          <w:sz w:val="24"/>
          <w:szCs w:val="24"/>
          <w:lang w:eastAsia="hu-HU"/>
        </w:rPr>
        <w:t>tevékenység</w:t>
      </w:r>
      <w:r w:rsidR="00C75575" w:rsidRPr="006C332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A62D6" w:rsidRPr="006C3326">
        <w:rPr>
          <w:rFonts w:ascii="Times New Roman" w:hAnsi="Times New Roman" w:cs="Times New Roman"/>
          <w:b/>
          <w:sz w:val="24"/>
          <w:szCs w:val="24"/>
          <w:lang w:eastAsia="hu-HU"/>
        </w:rPr>
        <w:t>esetén</w:t>
      </w:r>
    </w:p>
    <w:p w:rsidR="00831C83" w:rsidRDefault="00831C83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2D6" w:rsidRPr="006C3326" w:rsidRDefault="006A62D6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220.000 HUF</w:t>
      </w:r>
    </w:p>
    <w:p w:rsidR="00831C83" w:rsidRDefault="00831C83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2D6" w:rsidRPr="006C3326" w:rsidRDefault="006A62D6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6A62D6" w:rsidRPr="006C3326" w:rsidRDefault="006A62D6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6A62D6" w:rsidRPr="006C3326" w:rsidRDefault="006A62D6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r w:rsidR="00CA6EAB" w:rsidRPr="006C3326">
        <w:rPr>
          <w:rFonts w:ascii="Times New Roman" w:hAnsi="Times New Roman" w:cs="Times New Roman"/>
          <w:sz w:val="24"/>
          <w:szCs w:val="24"/>
        </w:rPr>
        <w:t xml:space="preserve">az iparvágányon vagy a saját célú </w:t>
      </w:r>
      <w:r w:rsidRPr="006C3326">
        <w:rPr>
          <w:rFonts w:ascii="Times New Roman" w:hAnsi="Times New Roman" w:cs="Times New Roman"/>
          <w:sz w:val="24"/>
          <w:szCs w:val="24"/>
        </w:rPr>
        <w:t>vasúti pályahálózaton a tárgyévet követő évben várhatóan dolgozó vontató járművek száma.</w:t>
      </w:r>
    </w:p>
    <w:p w:rsidR="00CF7765" w:rsidRPr="006C3326" w:rsidRDefault="00CF7765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A2" w:rsidRPr="006C3326" w:rsidRDefault="008B4892" w:rsidP="00D8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0964A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40624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balesetek fedezeti összeghatárának számítása </w:t>
      </w:r>
      <w:r w:rsidR="00CA6EAB" w:rsidRPr="006C332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térségi vasúti </w:t>
      </w:r>
    </w:p>
    <w:p w:rsidR="002E1FA1" w:rsidRPr="006C3326" w:rsidRDefault="00C75575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pályahálózat</w:t>
      </w:r>
      <w:r w:rsidR="005738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</w:t>
      </w:r>
      <w:proofErr w:type="gramEnd"/>
      <w:r w:rsidR="00A60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A6EAB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esetén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31C83" w:rsidRDefault="00831C83" w:rsidP="00D835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348" w:rsidRPr="006C3326" w:rsidRDefault="00183348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150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HUF</w:t>
      </w:r>
    </w:p>
    <w:p w:rsidR="00831C83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348" w:rsidRPr="006C3326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83348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183348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183348" w:rsidRPr="006C3326" w:rsidRDefault="0018334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CA6EAB" w:rsidRPr="006C3326" w:rsidRDefault="0018334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vasúti társaság által működtetett vasúti pályahálózat építési hossza kilométerben a tárgyévet követő évben.</w:t>
      </w:r>
    </w:p>
    <w:p w:rsidR="00A457C0" w:rsidRPr="006C3326" w:rsidRDefault="00A457C0" w:rsidP="00D8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C0" w:rsidRPr="006C3326" w:rsidRDefault="000964A2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B48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katasztrófa-balesetek fedezeti összeghatárának számítása </w:t>
      </w:r>
      <w:r w:rsidR="00C75575" w:rsidRPr="00C75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keskeny nyomtávolságú vasút vagy múzeumvasút által végzett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vasúti pályahálózat</w:t>
      </w:r>
      <w:r w:rsidR="005738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F3B0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</w:t>
      </w:r>
      <w:r w:rsidR="005F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457C0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esetén</w:t>
      </w:r>
    </w:p>
    <w:p w:rsidR="007C537F" w:rsidRDefault="002E1FA1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457C0" w:rsidRPr="006C3326" w:rsidRDefault="00A457C0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130.000 HUF</w:t>
      </w:r>
    </w:p>
    <w:p w:rsidR="0025658D" w:rsidRDefault="0025658D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57C0" w:rsidRPr="006C3326" w:rsidRDefault="00831C83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A457C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A457C0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A457C0" w:rsidRPr="006C3326" w:rsidRDefault="00A457C0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0964A2" w:rsidRPr="006C3326" w:rsidRDefault="000964A2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C0" w:rsidRPr="006C332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457C0" w:rsidRPr="006C3326">
        <w:rPr>
          <w:rFonts w:ascii="Times New Roman" w:hAnsi="Times New Roman" w:cs="Times New Roman"/>
          <w:sz w:val="24"/>
          <w:szCs w:val="24"/>
        </w:rPr>
        <w:t xml:space="preserve"> = A vasúti társaság által működtetett vasúti pályahálózat építési hossza  kilométerben </w:t>
      </w:r>
      <w:proofErr w:type="gramStart"/>
      <w:r w:rsidR="00A457C0"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457C0" w:rsidRPr="006C3326">
        <w:rPr>
          <w:rFonts w:ascii="Times New Roman" w:hAnsi="Times New Roman" w:cs="Times New Roman"/>
          <w:sz w:val="24"/>
          <w:szCs w:val="24"/>
        </w:rPr>
        <w:t xml:space="preserve"> </w:t>
      </w:r>
      <w:r w:rsidRPr="006C3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7C0" w:rsidRPr="006C3326" w:rsidRDefault="000964A2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57C0" w:rsidRPr="006C3326">
        <w:rPr>
          <w:rFonts w:ascii="Times New Roman" w:hAnsi="Times New Roman" w:cs="Times New Roman"/>
          <w:sz w:val="24"/>
          <w:szCs w:val="24"/>
        </w:rPr>
        <w:t>tárgyévet</w:t>
      </w:r>
      <w:proofErr w:type="gramEnd"/>
      <w:r w:rsidR="00A457C0" w:rsidRPr="006C3326">
        <w:rPr>
          <w:rFonts w:ascii="Times New Roman" w:hAnsi="Times New Roman" w:cs="Times New Roman"/>
          <w:sz w:val="24"/>
          <w:szCs w:val="24"/>
        </w:rPr>
        <w:t xml:space="preserve"> követő évben.</w:t>
      </w:r>
    </w:p>
    <w:p w:rsidR="00A36DF9" w:rsidRPr="006C3326" w:rsidRDefault="00A36DF9" w:rsidP="00D83515">
      <w:pPr>
        <w:pStyle w:val="Listaszerbekezds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5730B5" w:rsidRDefault="005730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83348" w:rsidRPr="006C3326" w:rsidRDefault="008B4892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0964A2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8334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40624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8334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iparvágány</w:t>
      </w:r>
      <w:r w:rsidR="005F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on végzett</w:t>
      </w:r>
      <w:r w:rsidR="0018334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</w:t>
      </w:r>
      <w:r w:rsidR="00A60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célú vasúti pályahálózat-</w:t>
      </w:r>
      <w:r w:rsidR="005F3B0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</w:t>
      </w:r>
      <w:r w:rsidR="00955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3348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esetén</w:t>
      </w:r>
    </w:p>
    <w:p w:rsidR="007C537F" w:rsidRDefault="007C537F" w:rsidP="00D8351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3348" w:rsidRDefault="00183348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pt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x 110.000 HUF</w:t>
      </w:r>
    </w:p>
    <w:p w:rsidR="00831C83" w:rsidRPr="006C3326" w:rsidRDefault="00831C83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3348" w:rsidRPr="006C3326" w:rsidRDefault="000964A2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183348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="00183348"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 millió HUF,</w:t>
      </w:r>
    </w:p>
    <w:p w:rsidR="00183348" w:rsidRPr="006C3326" w:rsidRDefault="00183348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183348" w:rsidRPr="006C3326" w:rsidRDefault="00183348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32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C332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vasúti társaság által működtetett vasúti pályahálózat építési hossza kilométerben a tárgyévet követő évben.</w:t>
      </w:r>
    </w:p>
    <w:p w:rsidR="007E3345" w:rsidRDefault="007E3345" w:rsidP="007E3345">
      <w:pPr>
        <w:spacing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231" w:rsidRPr="006C3326" w:rsidRDefault="008B4892" w:rsidP="00D835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234B5E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57423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katasztrófa</w:t>
      </w:r>
      <w:r w:rsidR="00740624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7423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balesetek fedezeti összeghatárának számítása helyi vagy városi vasúti pályahálózat</w:t>
      </w:r>
      <w:r w:rsidR="005738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F3B0A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működtetés</w:t>
      </w:r>
      <w:r w:rsidR="005F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74231"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esetén</w:t>
      </w:r>
    </w:p>
    <w:p w:rsidR="00E85ECE" w:rsidRDefault="00E85ECE" w:rsidP="00D8351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4B5E" w:rsidRPr="006C3326" w:rsidRDefault="00574231" w:rsidP="00D83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PML = k x </w:t>
      </w:r>
      <w:proofErr w:type="spellStart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Áf</w:t>
      </w:r>
      <w:proofErr w:type="spellEnd"/>
      <w:r w:rsidRPr="006C33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= (ph1 x 3.000.000 + ph2 x 750.000) HUF</w:t>
      </w:r>
    </w:p>
    <w:p w:rsidR="007C537F" w:rsidRDefault="007C537F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6BCC" w:rsidRPr="006C3326" w:rsidRDefault="00056BCC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400 millió HUF,</w:t>
      </w:r>
    </w:p>
    <w:p w:rsidR="00056BCC" w:rsidRPr="006C3326" w:rsidRDefault="00056BCC" w:rsidP="00D8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3326">
        <w:rPr>
          <w:rFonts w:ascii="Times New Roman" w:eastAsia="Times New Roman" w:hAnsi="Times New Roman" w:cs="Times New Roman"/>
          <w:sz w:val="24"/>
          <w:szCs w:val="24"/>
          <w:lang w:eastAsia="hu-HU"/>
        </w:rPr>
        <w:t>ahol</w:t>
      </w:r>
      <w:proofErr w:type="gramEnd"/>
    </w:p>
    <w:p w:rsidR="00234B5E" w:rsidRPr="006C3326" w:rsidRDefault="00056BCC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ph1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helyi vagy városi vasúti pályahálózaton a villamos vontatásra alkalmas vasúti pályahálózat építési hossza,</w:t>
      </w:r>
    </w:p>
    <w:p w:rsidR="00056BCC" w:rsidRPr="006C3326" w:rsidRDefault="00056BCC" w:rsidP="00D8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sz w:val="24"/>
          <w:szCs w:val="24"/>
        </w:rPr>
        <w:t xml:space="preserve">ph2 = </w:t>
      </w:r>
      <w:proofErr w:type="gramStart"/>
      <w:r w:rsidRPr="006C33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3326">
        <w:rPr>
          <w:rFonts w:ascii="Times New Roman" w:hAnsi="Times New Roman" w:cs="Times New Roman"/>
          <w:sz w:val="24"/>
          <w:szCs w:val="24"/>
        </w:rPr>
        <w:t xml:space="preserve"> helyi vagy városi vasúti pályahálózaton a villamos vontatásra nem alkalmas vasúti pályahálózat építési hossz</w:t>
      </w:r>
      <w:r w:rsidR="00740624" w:rsidRPr="006C3326">
        <w:rPr>
          <w:rFonts w:ascii="Times New Roman" w:hAnsi="Times New Roman" w:cs="Times New Roman"/>
          <w:sz w:val="24"/>
          <w:szCs w:val="24"/>
        </w:rPr>
        <w:t>a</w:t>
      </w:r>
      <w:r w:rsidRPr="006C3326">
        <w:rPr>
          <w:rFonts w:ascii="Times New Roman" w:hAnsi="Times New Roman" w:cs="Times New Roman"/>
          <w:sz w:val="24"/>
          <w:szCs w:val="24"/>
        </w:rPr>
        <w:t>.</w:t>
      </w:r>
    </w:p>
    <w:p w:rsidR="00CA6EAB" w:rsidRPr="006C3326" w:rsidRDefault="00CA6EAB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234B5E" w:rsidRPr="006C3326" w:rsidRDefault="00234B5E" w:rsidP="00D83515">
      <w:pPr>
        <w:spacing w:after="0" w:line="240" w:lineRule="auto"/>
        <w:ind w:left="301"/>
        <w:rPr>
          <w:rFonts w:ascii="Times New Roman" w:hAnsi="Times New Roman" w:cs="Times New Roman"/>
          <w:sz w:val="24"/>
          <w:szCs w:val="24"/>
        </w:rPr>
      </w:pPr>
    </w:p>
    <w:p w:rsidR="00520A83" w:rsidRPr="006C3326" w:rsidRDefault="00056BCC" w:rsidP="00D8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4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412E7F" w:rsidRPr="00557426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412E7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574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94EB0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</w:t>
      </w:r>
      <w:r w:rsidRPr="005574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520A83" w:rsidRPr="006C3326" w:rsidSect="00B715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93" w:right="1417" w:bottom="1701" w:left="1417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FE" w:rsidRDefault="00003FFE" w:rsidP="00B32958">
      <w:pPr>
        <w:spacing w:after="0" w:line="240" w:lineRule="auto"/>
      </w:pPr>
      <w:r>
        <w:separator/>
      </w:r>
    </w:p>
  </w:endnote>
  <w:endnote w:type="continuationSeparator" w:id="0">
    <w:p w:rsidR="00003FFE" w:rsidRDefault="00003FFE" w:rsidP="00B3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2A" w:rsidRPr="00BB6043" w:rsidRDefault="00E20B2A" w:rsidP="00E20B2A">
    <w:pPr>
      <w:jc w:val="center"/>
      <w:rPr>
        <w:rFonts w:ascii="Arial" w:hAnsi="Arial" w:cs="Arial"/>
        <w:color w:val="262626"/>
        <w:sz w:val="20"/>
        <w:szCs w:val="20"/>
        <w:bdr w:val="none" w:sz="0" w:space="0" w:color="auto" w:frame="1"/>
      </w:rPr>
    </w:pPr>
    <w:r w:rsidRPr="003C62E1">
      <w:rPr>
        <w:rFonts w:ascii="Arial" w:hAnsi="Arial" w:cs="Arial"/>
        <w:color w:val="262626"/>
        <w:sz w:val="20"/>
        <w:szCs w:val="20"/>
        <w:bdr w:val="none" w:sz="0" w:space="0" w:color="auto" w:frame="1"/>
      </w:rPr>
      <w:t>1440 Budapest, Pf. 1</w:t>
    </w:r>
    <w:proofErr w:type="gramStart"/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>.,</w:t>
    </w:r>
    <w:proofErr w:type="gramEnd"/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 xml:space="preserve"> </w:t>
    </w:r>
    <w:r w:rsidRPr="003C62E1">
      <w:rPr>
        <w:rFonts w:ascii="Arial" w:hAnsi="Arial" w:cs="Arial"/>
        <w:sz w:val="20"/>
        <w:szCs w:val="20"/>
      </w:rPr>
      <w:t xml:space="preserve">e-mail: </w:t>
    </w:r>
    <w:hyperlink r:id="rId1" w:history="1">
      <w:r w:rsidRPr="00AB35B5">
        <w:rPr>
          <w:rStyle w:val="Hiperhivatkozs"/>
          <w:rFonts w:ascii="Arial" w:hAnsi="Arial" w:cs="Arial"/>
          <w:kern w:val="2"/>
          <w:sz w:val="20"/>
          <w:szCs w:val="20"/>
        </w:rPr>
        <w:t>igazgatasiszerv.vasut@tim.gov.hu</w:t>
      </w:r>
    </w:hyperlink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 xml:space="preserve">; </w:t>
    </w:r>
    <w:r w:rsidRPr="003C62E1">
      <w:rPr>
        <w:rFonts w:ascii="Arial" w:hAnsi="Arial" w:cs="Arial"/>
        <w:sz w:val="20"/>
        <w:szCs w:val="20"/>
      </w:rPr>
      <w:t xml:space="preserve">tel.: </w:t>
    </w:r>
    <w:r w:rsidRPr="003C62E1">
      <w:rPr>
        <w:rFonts w:ascii="Arial" w:hAnsi="Arial" w:cs="Arial"/>
        <w:kern w:val="2"/>
        <w:sz w:val="20"/>
        <w:szCs w:val="20"/>
      </w:rPr>
      <w:t>+36 1 373 1405</w:t>
    </w:r>
  </w:p>
  <w:p w:rsidR="00B32958" w:rsidRPr="00E20B2A" w:rsidRDefault="00B32958" w:rsidP="00E20B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D" w:rsidRPr="00BB6043" w:rsidRDefault="00B7157D" w:rsidP="00B7157D">
    <w:pPr>
      <w:jc w:val="center"/>
      <w:rPr>
        <w:rFonts w:ascii="Arial" w:hAnsi="Arial" w:cs="Arial"/>
        <w:color w:val="262626"/>
        <w:sz w:val="20"/>
        <w:szCs w:val="20"/>
        <w:bdr w:val="none" w:sz="0" w:space="0" w:color="auto" w:frame="1"/>
      </w:rPr>
    </w:pPr>
    <w:r w:rsidRPr="003C62E1">
      <w:rPr>
        <w:rFonts w:ascii="Arial" w:hAnsi="Arial" w:cs="Arial"/>
        <w:color w:val="262626"/>
        <w:sz w:val="20"/>
        <w:szCs w:val="20"/>
        <w:bdr w:val="none" w:sz="0" w:space="0" w:color="auto" w:frame="1"/>
      </w:rPr>
      <w:t>1440 Budapest, Pf. 1</w:t>
    </w:r>
    <w:proofErr w:type="gramStart"/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>.,</w:t>
    </w:r>
    <w:proofErr w:type="gramEnd"/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 xml:space="preserve"> </w:t>
    </w:r>
    <w:r w:rsidRPr="003C62E1">
      <w:rPr>
        <w:rFonts w:ascii="Arial" w:hAnsi="Arial" w:cs="Arial"/>
        <w:sz w:val="20"/>
        <w:szCs w:val="20"/>
      </w:rPr>
      <w:t xml:space="preserve">e-mail: </w:t>
    </w:r>
    <w:hyperlink r:id="rId1" w:history="1">
      <w:r w:rsidRPr="00AB35B5">
        <w:rPr>
          <w:rStyle w:val="Hiperhivatkozs"/>
          <w:rFonts w:ascii="Arial" w:hAnsi="Arial" w:cs="Arial"/>
          <w:kern w:val="2"/>
          <w:sz w:val="20"/>
          <w:szCs w:val="20"/>
        </w:rPr>
        <w:t>igazgatasiszerv.vasut@tim.gov.hu</w:t>
      </w:r>
    </w:hyperlink>
    <w:r>
      <w:rPr>
        <w:rFonts w:ascii="Arial" w:hAnsi="Arial" w:cs="Arial"/>
        <w:color w:val="262626"/>
        <w:sz w:val="20"/>
        <w:szCs w:val="20"/>
        <w:bdr w:val="none" w:sz="0" w:space="0" w:color="auto" w:frame="1"/>
      </w:rPr>
      <w:t xml:space="preserve">; </w:t>
    </w:r>
    <w:r w:rsidRPr="003C62E1">
      <w:rPr>
        <w:rFonts w:ascii="Arial" w:hAnsi="Arial" w:cs="Arial"/>
        <w:sz w:val="20"/>
        <w:szCs w:val="20"/>
      </w:rPr>
      <w:t xml:space="preserve">tel.: </w:t>
    </w:r>
    <w:r w:rsidRPr="003C62E1">
      <w:rPr>
        <w:rFonts w:ascii="Arial" w:hAnsi="Arial" w:cs="Arial"/>
        <w:kern w:val="2"/>
        <w:sz w:val="20"/>
        <w:szCs w:val="20"/>
      </w:rPr>
      <w:t>+36 1 373 1405</w:t>
    </w:r>
  </w:p>
  <w:p w:rsidR="007C537F" w:rsidRPr="00B7157D" w:rsidRDefault="007C537F" w:rsidP="00B715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FE" w:rsidRDefault="00003FFE" w:rsidP="00B32958">
      <w:pPr>
        <w:spacing w:after="0" w:line="240" w:lineRule="auto"/>
      </w:pPr>
      <w:r>
        <w:separator/>
      </w:r>
    </w:p>
  </w:footnote>
  <w:footnote w:type="continuationSeparator" w:id="0">
    <w:p w:rsidR="00003FFE" w:rsidRDefault="00003FFE" w:rsidP="00B3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901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410E" w:rsidRPr="00D83515" w:rsidRDefault="004E410E">
        <w:pPr>
          <w:pStyle w:val="lfej"/>
          <w:jc w:val="center"/>
          <w:rPr>
            <w:rFonts w:ascii="Times New Roman" w:hAnsi="Times New Roman" w:cs="Times New Roman"/>
          </w:rPr>
        </w:pPr>
        <w:r w:rsidRPr="00D83515">
          <w:rPr>
            <w:rFonts w:ascii="Times New Roman" w:hAnsi="Times New Roman" w:cs="Times New Roman"/>
          </w:rPr>
          <w:fldChar w:fldCharType="begin"/>
        </w:r>
        <w:r w:rsidRPr="00D83515">
          <w:rPr>
            <w:rFonts w:ascii="Times New Roman" w:hAnsi="Times New Roman" w:cs="Times New Roman"/>
          </w:rPr>
          <w:instrText>PAGE   \* MERGEFORMAT</w:instrText>
        </w:r>
        <w:r w:rsidRPr="00D83515">
          <w:rPr>
            <w:rFonts w:ascii="Times New Roman" w:hAnsi="Times New Roman" w:cs="Times New Roman"/>
          </w:rPr>
          <w:fldChar w:fldCharType="separate"/>
        </w:r>
        <w:r w:rsidR="00B7157D">
          <w:rPr>
            <w:rFonts w:ascii="Times New Roman" w:hAnsi="Times New Roman" w:cs="Times New Roman"/>
            <w:noProof/>
          </w:rPr>
          <w:t>2</w:t>
        </w:r>
        <w:r w:rsidRPr="00D83515">
          <w:rPr>
            <w:rFonts w:ascii="Times New Roman" w:hAnsi="Times New Roman" w:cs="Times New Roman"/>
          </w:rPr>
          <w:fldChar w:fldCharType="end"/>
        </w:r>
      </w:p>
    </w:sdtContent>
  </w:sdt>
  <w:p w:rsidR="004E410E" w:rsidRDefault="004E410E" w:rsidP="004E41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3E" w:rsidRDefault="00E20B2A" w:rsidP="00332A3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CB9D649" wp14:editId="305E9D0A">
          <wp:simplePos x="0" y="0"/>
          <wp:positionH relativeFrom="column">
            <wp:posOffset>1783715</wp:posOffset>
          </wp:positionH>
          <wp:positionV relativeFrom="paragraph">
            <wp:posOffset>55245</wp:posOffset>
          </wp:positionV>
          <wp:extent cx="2343785" cy="1252855"/>
          <wp:effectExtent l="0" t="0" r="0" b="4445"/>
          <wp:wrapNone/>
          <wp:docPr id="1" name="Kép 1" descr="C:\Adatok\Munka\TIM megalakulása 2022\TIM Iratmintatár\TIM_cimeres_logo_EZU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Adatok\Munka\TIM megalakulása 2022\TIM Iratmintatár\TIM_cimeres_logo_EZUST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18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A3E" w:rsidRDefault="00332A3E" w:rsidP="00332A3E">
    <w:pPr>
      <w:pStyle w:val="lfej"/>
    </w:pPr>
  </w:p>
  <w:p w:rsidR="00332A3E" w:rsidRPr="00391C3F" w:rsidRDefault="00332A3E" w:rsidP="00332A3E">
    <w:pPr>
      <w:rPr>
        <w:smallCaps/>
        <w:color w:val="989898"/>
        <w:sz w:val="14"/>
        <w:szCs w:val="14"/>
      </w:rPr>
    </w:pPr>
  </w:p>
  <w:p w:rsidR="00332A3E" w:rsidRPr="006020EE" w:rsidRDefault="00332A3E" w:rsidP="00332A3E">
    <w:pPr>
      <w:pStyle w:val="lfej"/>
      <w:tabs>
        <w:tab w:val="left" w:pos="739"/>
      </w:tabs>
    </w:pPr>
    <w:r w:rsidRPr="006020EE">
      <w:tab/>
    </w:r>
  </w:p>
  <w:p w:rsidR="00332A3E" w:rsidRPr="006020EE" w:rsidRDefault="00332A3E" w:rsidP="00332A3E">
    <w:pPr>
      <w:tabs>
        <w:tab w:val="center" w:pos="4320"/>
        <w:tab w:val="right" w:pos="8640"/>
      </w:tabs>
    </w:pPr>
  </w:p>
  <w:p w:rsidR="00332A3E" w:rsidRPr="006020EE" w:rsidRDefault="00332A3E" w:rsidP="00332A3E">
    <w:pPr>
      <w:tabs>
        <w:tab w:val="center" w:pos="4320"/>
        <w:tab w:val="right" w:pos="8640"/>
      </w:tabs>
    </w:pPr>
  </w:p>
  <w:p w:rsidR="00332A3E" w:rsidRPr="00D83515" w:rsidRDefault="00332A3E" w:rsidP="00332A3E">
    <w:pPr>
      <w:jc w:val="center"/>
      <w:rPr>
        <w:rFonts w:ascii="Times New Roman" w:hAnsi="Times New Roman" w:cs="Times New Roman"/>
        <w:smallCaps/>
        <w:color w:val="989898"/>
      </w:rPr>
    </w:pPr>
    <w:r w:rsidRPr="00D83515">
      <w:rPr>
        <w:rFonts w:ascii="Times New Roman" w:hAnsi="Times New Roman" w:cs="Times New Roman"/>
        <w:smallCaps/>
        <w:color w:val="989898"/>
        <w:sz w:val="24"/>
        <w:szCs w:val="24"/>
      </w:rPr>
      <w:t>VASÚTI IGAZGATÁSI SZERV</w:t>
    </w:r>
  </w:p>
  <w:p w:rsidR="007C537F" w:rsidRDefault="007C53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8E6"/>
    <w:multiLevelType w:val="hybridMultilevel"/>
    <w:tmpl w:val="6DC6AB30"/>
    <w:lvl w:ilvl="0" w:tplc="93BE81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6453"/>
    <w:multiLevelType w:val="hybridMultilevel"/>
    <w:tmpl w:val="52CCC55A"/>
    <w:lvl w:ilvl="0" w:tplc="AACE2D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F37"/>
    <w:multiLevelType w:val="hybridMultilevel"/>
    <w:tmpl w:val="F192F566"/>
    <w:lvl w:ilvl="0" w:tplc="54222684">
      <w:start w:val="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3C645B7"/>
    <w:multiLevelType w:val="hybridMultilevel"/>
    <w:tmpl w:val="6D9EE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777F5"/>
    <w:multiLevelType w:val="hybridMultilevel"/>
    <w:tmpl w:val="D5768F40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3361"/>
    <w:multiLevelType w:val="hybridMultilevel"/>
    <w:tmpl w:val="1ABE32BC"/>
    <w:lvl w:ilvl="0" w:tplc="C22462B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4A7B38"/>
    <w:multiLevelType w:val="hybridMultilevel"/>
    <w:tmpl w:val="DB18A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5"/>
    <w:rsid w:val="00003FFE"/>
    <w:rsid w:val="0000474B"/>
    <w:rsid w:val="00006DD9"/>
    <w:rsid w:val="000078C5"/>
    <w:rsid w:val="0002577F"/>
    <w:rsid w:val="00056BCC"/>
    <w:rsid w:val="00073A01"/>
    <w:rsid w:val="00083A73"/>
    <w:rsid w:val="00086716"/>
    <w:rsid w:val="00095B75"/>
    <w:rsid w:val="000964A2"/>
    <w:rsid w:val="00096FD7"/>
    <w:rsid w:val="000972DC"/>
    <w:rsid w:val="000A419E"/>
    <w:rsid w:val="000C3116"/>
    <w:rsid w:val="000D21AA"/>
    <w:rsid w:val="00110E11"/>
    <w:rsid w:val="00111395"/>
    <w:rsid w:val="001172B5"/>
    <w:rsid w:val="001302FD"/>
    <w:rsid w:val="00183348"/>
    <w:rsid w:val="00191708"/>
    <w:rsid w:val="001A6A8F"/>
    <w:rsid w:val="001D6904"/>
    <w:rsid w:val="001E5CE9"/>
    <w:rsid w:val="001F3AAB"/>
    <w:rsid w:val="00214CEB"/>
    <w:rsid w:val="00221A3C"/>
    <w:rsid w:val="002232D1"/>
    <w:rsid w:val="00234B5E"/>
    <w:rsid w:val="002513F6"/>
    <w:rsid w:val="0025658D"/>
    <w:rsid w:val="002836CA"/>
    <w:rsid w:val="00287B41"/>
    <w:rsid w:val="002E1FA1"/>
    <w:rsid w:val="002E4E18"/>
    <w:rsid w:val="002F524D"/>
    <w:rsid w:val="002F79D7"/>
    <w:rsid w:val="00303468"/>
    <w:rsid w:val="00327E47"/>
    <w:rsid w:val="003327BD"/>
    <w:rsid w:val="00332A3E"/>
    <w:rsid w:val="00364E63"/>
    <w:rsid w:val="0036605F"/>
    <w:rsid w:val="00375BF1"/>
    <w:rsid w:val="003954D6"/>
    <w:rsid w:val="003A0B20"/>
    <w:rsid w:val="003D6373"/>
    <w:rsid w:val="003F328B"/>
    <w:rsid w:val="00412E7F"/>
    <w:rsid w:val="004254AB"/>
    <w:rsid w:val="00430797"/>
    <w:rsid w:val="00430AD5"/>
    <w:rsid w:val="004506E4"/>
    <w:rsid w:val="00460061"/>
    <w:rsid w:val="00464236"/>
    <w:rsid w:val="00464350"/>
    <w:rsid w:val="004700D8"/>
    <w:rsid w:val="004706D0"/>
    <w:rsid w:val="00485B95"/>
    <w:rsid w:val="00486314"/>
    <w:rsid w:val="0049402F"/>
    <w:rsid w:val="00496B3A"/>
    <w:rsid w:val="004A1772"/>
    <w:rsid w:val="004B361C"/>
    <w:rsid w:val="004E410E"/>
    <w:rsid w:val="0050600D"/>
    <w:rsid w:val="00507E5B"/>
    <w:rsid w:val="005134C6"/>
    <w:rsid w:val="00514F49"/>
    <w:rsid w:val="005161A9"/>
    <w:rsid w:val="00520A83"/>
    <w:rsid w:val="0053380F"/>
    <w:rsid w:val="005371A7"/>
    <w:rsid w:val="005545B0"/>
    <w:rsid w:val="005558B7"/>
    <w:rsid w:val="00557426"/>
    <w:rsid w:val="00567EFF"/>
    <w:rsid w:val="005730B5"/>
    <w:rsid w:val="0057388C"/>
    <w:rsid w:val="00574231"/>
    <w:rsid w:val="00576AC4"/>
    <w:rsid w:val="005A2E89"/>
    <w:rsid w:val="005A752F"/>
    <w:rsid w:val="005C16CB"/>
    <w:rsid w:val="005C16D6"/>
    <w:rsid w:val="005E39E5"/>
    <w:rsid w:val="005E6142"/>
    <w:rsid w:val="005F2647"/>
    <w:rsid w:val="005F38A3"/>
    <w:rsid w:val="005F3B0A"/>
    <w:rsid w:val="00646BFE"/>
    <w:rsid w:val="00685547"/>
    <w:rsid w:val="00692DEF"/>
    <w:rsid w:val="006A62D6"/>
    <w:rsid w:val="006B1BB2"/>
    <w:rsid w:val="006C3326"/>
    <w:rsid w:val="00717913"/>
    <w:rsid w:val="00720D2A"/>
    <w:rsid w:val="00740624"/>
    <w:rsid w:val="007B5E82"/>
    <w:rsid w:val="007C537F"/>
    <w:rsid w:val="007E3345"/>
    <w:rsid w:val="008058E7"/>
    <w:rsid w:val="00831C83"/>
    <w:rsid w:val="00844FFB"/>
    <w:rsid w:val="00857905"/>
    <w:rsid w:val="008608BA"/>
    <w:rsid w:val="008637AB"/>
    <w:rsid w:val="00882EF7"/>
    <w:rsid w:val="00890FAF"/>
    <w:rsid w:val="008B4892"/>
    <w:rsid w:val="008B5B38"/>
    <w:rsid w:val="008B5B5E"/>
    <w:rsid w:val="008B6D62"/>
    <w:rsid w:val="008E18AB"/>
    <w:rsid w:val="009079FD"/>
    <w:rsid w:val="00955FD6"/>
    <w:rsid w:val="009B40EB"/>
    <w:rsid w:val="009B665E"/>
    <w:rsid w:val="009C4D58"/>
    <w:rsid w:val="009C6801"/>
    <w:rsid w:val="009E4B03"/>
    <w:rsid w:val="009F118C"/>
    <w:rsid w:val="00A1703E"/>
    <w:rsid w:val="00A23374"/>
    <w:rsid w:val="00A36DF9"/>
    <w:rsid w:val="00A457C0"/>
    <w:rsid w:val="00A4773F"/>
    <w:rsid w:val="00A60E02"/>
    <w:rsid w:val="00A65785"/>
    <w:rsid w:val="00A66029"/>
    <w:rsid w:val="00A7144F"/>
    <w:rsid w:val="00AD08A5"/>
    <w:rsid w:val="00B01010"/>
    <w:rsid w:val="00B0247C"/>
    <w:rsid w:val="00B15CAD"/>
    <w:rsid w:val="00B20F8F"/>
    <w:rsid w:val="00B32958"/>
    <w:rsid w:val="00B60615"/>
    <w:rsid w:val="00B65F11"/>
    <w:rsid w:val="00B7157D"/>
    <w:rsid w:val="00B8015D"/>
    <w:rsid w:val="00B908D1"/>
    <w:rsid w:val="00B92F35"/>
    <w:rsid w:val="00B95E02"/>
    <w:rsid w:val="00BC2FA1"/>
    <w:rsid w:val="00BD422A"/>
    <w:rsid w:val="00BF5593"/>
    <w:rsid w:val="00C00215"/>
    <w:rsid w:val="00C42EFB"/>
    <w:rsid w:val="00C56654"/>
    <w:rsid w:val="00C75575"/>
    <w:rsid w:val="00C75766"/>
    <w:rsid w:val="00CA6EAB"/>
    <w:rsid w:val="00CA7171"/>
    <w:rsid w:val="00CE3116"/>
    <w:rsid w:val="00CF3B7A"/>
    <w:rsid w:val="00CF7765"/>
    <w:rsid w:val="00D05D0E"/>
    <w:rsid w:val="00D11749"/>
    <w:rsid w:val="00D167C9"/>
    <w:rsid w:val="00D40C94"/>
    <w:rsid w:val="00D7325D"/>
    <w:rsid w:val="00D744FF"/>
    <w:rsid w:val="00D83515"/>
    <w:rsid w:val="00D85612"/>
    <w:rsid w:val="00D94EB0"/>
    <w:rsid w:val="00D97791"/>
    <w:rsid w:val="00DB6772"/>
    <w:rsid w:val="00DB7090"/>
    <w:rsid w:val="00DB7463"/>
    <w:rsid w:val="00DC4A6A"/>
    <w:rsid w:val="00DD769F"/>
    <w:rsid w:val="00DE5DA5"/>
    <w:rsid w:val="00E13D95"/>
    <w:rsid w:val="00E20B2A"/>
    <w:rsid w:val="00E20F43"/>
    <w:rsid w:val="00E261FB"/>
    <w:rsid w:val="00E415D2"/>
    <w:rsid w:val="00E47AF7"/>
    <w:rsid w:val="00E75A86"/>
    <w:rsid w:val="00E85ECE"/>
    <w:rsid w:val="00E94F29"/>
    <w:rsid w:val="00EF020F"/>
    <w:rsid w:val="00EF2880"/>
    <w:rsid w:val="00EF5687"/>
    <w:rsid w:val="00F01406"/>
    <w:rsid w:val="00F03B04"/>
    <w:rsid w:val="00F54323"/>
    <w:rsid w:val="00F60667"/>
    <w:rsid w:val="00F6705B"/>
    <w:rsid w:val="00FC15EF"/>
    <w:rsid w:val="00FF53B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A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2958"/>
  </w:style>
  <w:style w:type="paragraph" w:styleId="llb">
    <w:name w:val="footer"/>
    <w:basedOn w:val="Norml"/>
    <w:link w:val="llbChar"/>
    <w:uiPriority w:val="99"/>
    <w:unhideWhenUsed/>
    <w:rsid w:val="00B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2958"/>
  </w:style>
  <w:style w:type="paragraph" w:styleId="Buborkszveg">
    <w:name w:val="Balloon Text"/>
    <w:basedOn w:val="Norml"/>
    <w:link w:val="BuborkszvegChar"/>
    <w:uiPriority w:val="99"/>
    <w:semiHidden/>
    <w:unhideWhenUsed/>
    <w:rsid w:val="005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9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F53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53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53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53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53B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5E02"/>
    <w:pPr>
      <w:spacing w:after="0" w:line="240" w:lineRule="auto"/>
    </w:pPr>
  </w:style>
  <w:style w:type="character" w:styleId="Hiperhivatkozs">
    <w:name w:val="Hyperlink"/>
    <w:rsid w:val="007C5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AF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2958"/>
  </w:style>
  <w:style w:type="paragraph" w:styleId="llb">
    <w:name w:val="footer"/>
    <w:basedOn w:val="Norml"/>
    <w:link w:val="llbChar"/>
    <w:uiPriority w:val="99"/>
    <w:unhideWhenUsed/>
    <w:rsid w:val="00B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2958"/>
  </w:style>
  <w:style w:type="paragraph" w:styleId="Buborkszveg">
    <w:name w:val="Balloon Text"/>
    <w:basedOn w:val="Norml"/>
    <w:link w:val="BuborkszvegChar"/>
    <w:uiPriority w:val="99"/>
    <w:semiHidden/>
    <w:unhideWhenUsed/>
    <w:rsid w:val="005E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9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F53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53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53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53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53B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5E02"/>
    <w:pPr>
      <w:spacing w:after="0" w:line="240" w:lineRule="auto"/>
    </w:pPr>
  </w:style>
  <w:style w:type="character" w:styleId="Hiperhivatkozs">
    <w:name w:val="Hyperlink"/>
    <w:rsid w:val="007C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84F3-4FB3-42AD-AFD0-0773FEA4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Máté</dc:creator>
  <cp:lastModifiedBy>Dávid Máté Tibor</cp:lastModifiedBy>
  <cp:revision>4</cp:revision>
  <cp:lastPrinted>2016-08-23T08:11:00Z</cp:lastPrinted>
  <dcterms:created xsi:type="dcterms:W3CDTF">2022-06-20T12:50:00Z</dcterms:created>
  <dcterms:modified xsi:type="dcterms:W3CDTF">2022-06-20T14:11:00Z</dcterms:modified>
</cp:coreProperties>
</file>