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70" w:rsidRPr="009C0E70" w:rsidRDefault="009C0E70" w:rsidP="009C0E70">
      <w:pPr>
        <w:keepNext/>
        <w:keepLines/>
        <w:spacing w:before="600" w:after="120"/>
        <w:outlineLvl w:val="0"/>
        <w:rPr>
          <w:rFonts w:ascii="Arial" w:eastAsiaTheme="majorEastAsia" w:hAnsi="Arial" w:cstheme="majorBidi"/>
          <w:b/>
          <w:bCs/>
          <w:sz w:val="24"/>
          <w:szCs w:val="28"/>
        </w:rPr>
      </w:pPr>
      <w:bookmarkStart w:id="0" w:name="_Toc417374579"/>
      <w:bookmarkStart w:id="1" w:name="_Toc420580596"/>
      <w:r w:rsidRPr="009C0E70">
        <w:rPr>
          <w:rFonts w:ascii="Arial" w:eastAsiaTheme="majorEastAsia" w:hAnsi="Arial" w:cstheme="majorBidi"/>
          <w:b/>
          <w:bCs/>
          <w:sz w:val="24"/>
          <w:szCs w:val="28"/>
        </w:rPr>
        <w:t>Mellékletek jegyzéke</w:t>
      </w:r>
      <w:bookmarkEnd w:id="0"/>
      <w:bookmarkEnd w:id="1"/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1. számú melléklet: Biztonsági engedély iránti kérelem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2. számú melléklet: A vasúti társaság adatai formanyomtatvány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3. melléklet: Biztonságirányítási rendszer tartalmi és formai követelményei, segédlet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4. melléklet: A vasútbiztonsági engedély megszerzéséhez szükséges követelményeknek való megfelelés-értékelés táblázat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5. melléklet: Nyilatkozat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6. melléklet: A vasúti közlekedés biztonságával közvetlenül összefüggő munkakörökben foglalkoztatottak jegyzéke (létszám) mintadokumentum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7. melléklet: Vasút társaság vasúti vontató és vontatott járműveinek jegyzéke mintadokumentum</w:t>
      </w:r>
    </w:p>
    <w:p w:rsidR="009C0E70" w:rsidRPr="009C0E70" w:rsidRDefault="009C0E70" w:rsidP="009C0E7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C0E70">
        <w:rPr>
          <w:rFonts w:ascii="Arial" w:hAnsi="Arial" w:cs="Arial"/>
          <w:sz w:val="24"/>
          <w:szCs w:val="24"/>
        </w:rPr>
        <w:t>8. melléklet: A vasúti járművek karbantartására vonatkozó adatok mintadokumentum</w:t>
      </w:r>
    </w:p>
    <w:p w:rsidR="009C0E70" w:rsidRPr="009C0E70" w:rsidRDefault="009C0E70" w:rsidP="009C0E70">
      <w:pPr>
        <w:ind w:left="426"/>
        <w:contextualSpacing/>
        <w:jc w:val="both"/>
        <w:rPr>
          <w:rFonts w:ascii="Arial" w:hAnsi="Arial"/>
          <w:sz w:val="24"/>
        </w:rPr>
        <w:sectPr w:rsidR="009C0E70" w:rsidRPr="009C0E70" w:rsidSect="000304C1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9C0E70">
        <w:rPr>
          <w:rFonts w:ascii="Arial" w:hAnsi="Arial"/>
          <w:sz w:val="24"/>
        </w:rPr>
        <w:br w:type="page"/>
      </w:r>
    </w:p>
    <w:p w:rsidR="009C0E70" w:rsidRPr="009C0E70" w:rsidRDefault="009C0E70" w:rsidP="009C0E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 számú melléklet</w:t>
      </w:r>
    </w:p>
    <w:p w:rsidR="009C0E70" w:rsidRPr="009C0E70" w:rsidRDefault="009C0E70" w:rsidP="009C0E70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center"/>
        <w:rPr>
          <w:rFonts w:ascii="Times New Roman" w:hAnsi="Times New Roman" w:cs="Times New Roman"/>
          <w:sz w:val="28"/>
          <w:szCs w:val="28"/>
        </w:rPr>
      </w:pPr>
      <w:r w:rsidRPr="009C0E70">
        <w:rPr>
          <w:rFonts w:ascii="Times New Roman" w:hAnsi="Times New Roman" w:cs="Times New Roman"/>
          <w:b/>
          <w:bCs/>
          <w:sz w:val="28"/>
          <w:szCs w:val="28"/>
        </w:rPr>
        <w:t>BIZTONSÁGI ENGEDÉLY IRÁNTI KÉRELEM</w:t>
      </w:r>
    </w:p>
    <w:p w:rsidR="009C0E70" w:rsidRPr="009C0E70" w:rsidRDefault="009C0E70" w:rsidP="009C0E7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70">
        <w:rPr>
          <w:rFonts w:ascii="Times New Roman" w:hAnsi="Times New Roman" w:cs="Times New Roman"/>
          <w:sz w:val="28"/>
          <w:szCs w:val="28"/>
        </w:rPr>
        <w:t>A 2004/49/EK irányelvnek és az alkalmazandó nemzeti jogszabályoknak megfelelően a vasúttársaság biztonsági rendszerének engedélyezéséről - biztonsági engedély (A. rész) - és/vagy a 2004/49/EK irányelvnek és az alkalmazandó nemzeti jogszabályoknak megfelelő, a vasúttársaság által az érintett hálózat biztonságos üzemeltetéséhez szükséges különleges követelmények teljesítése érdekében elfogadott rendelkezések engedélyezéséről - biztonsági engedély (B. rész) - szóló biztonsági engedély iránti kérelem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4"/>
        <w:gridCol w:w="443"/>
        <w:gridCol w:w="917"/>
        <w:gridCol w:w="344"/>
        <w:gridCol w:w="496"/>
        <w:gridCol w:w="369"/>
        <w:gridCol w:w="3951"/>
      </w:tblGrid>
      <w:tr w:rsidR="009C0E70" w:rsidRPr="009C0E70" w:rsidTr="00BD1D3F">
        <w:tc>
          <w:tcPr>
            <w:tcW w:w="5673" w:type="dxa"/>
            <w:gridSpan w:val="7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BIZTONSÁGI SZERVEZET/HATÓSÁG ADATAI</w:t>
            </w:r>
          </w:p>
        </w:tc>
        <w:tc>
          <w:tcPr>
            <w:tcW w:w="3951" w:type="dxa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5673" w:type="dxa"/>
            <w:gridSpan w:val="7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Innovációs és Technológiai Minisztérium, Vasúti Hatósági Főosztály, Vasútbiztonsági és Ellenőrzési Osztály</w:t>
            </w:r>
          </w:p>
        </w:tc>
        <w:tc>
          <w:tcPr>
            <w:tcW w:w="3951" w:type="dxa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70" w:rsidRPr="009C0E70" w:rsidTr="00BD1D3F">
        <w:tc>
          <w:tcPr>
            <w:tcW w:w="5673" w:type="dxa"/>
            <w:gridSpan w:val="7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Cím: 1138 Budapest, Váci út 188.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9C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 a kérelem</w:t>
            </w:r>
          </w:p>
        </w:tc>
      </w:tr>
      <w:tr w:rsidR="009C0E70" w:rsidRPr="009C0E70" w:rsidTr="00BD1D3F">
        <w:tc>
          <w:tcPr>
            <w:tcW w:w="3547" w:type="dxa"/>
            <w:gridSpan w:val="3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1.2. Új engedély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  <w:tc>
          <w:tcPr>
            <w:tcW w:w="6077" w:type="dxa"/>
            <w:gridSpan w:val="5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1.4. Naprakésszé tett/módosított engedély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</w:tr>
      <w:tr w:rsidR="009C0E70" w:rsidRPr="009C0E70" w:rsidTr="00BD1D3F">
        <w:tc>
          <w:tcPr>
            <w:tcW w:w="3547" w:type="dxa"/>
            <w:gridSpan w:val="3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1.3. Meghosszabbított engedély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  <w:tc>
          <w:tcPr>
            <w:tcW w:w="6077" w:type="dxa"/>
            <w:gridSpan w:val="5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1.5. A korábbi A. részből álló engedély uniós azonosítószáma: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</w:tr>
      <w:tr w:rsidR="009C0E70" w:rsidRPr="009C0E70" w:rsidTr="00BD1D3F">
        <w:tc>
          <w:tcPr>
            <w:tcW w:w="4808" w:type="dxa"/>
            <w:gridSpan w:val="5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1.6. Üzemeltetett pályahálózat összes hossza: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         0-200 km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         200 km felett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  <w:tc>
          <w:tcPr>
            <w:tcW w:w="4816" w:type="dxa"/>
            <w:gridSpan w:val="3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70" w:rsidRPr="009C0E70" w:rsidTr="00BD1D3F">
        <w:tc>
          <w:tcPr>
            <w:tcW w:w="4808" w:type="dxa"/>
            <w:gridSpan w:val="5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1.7. Szolgáltatás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kezdete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…………………………………..……………………</w:t>
            </w:r>
          </w:p>
        </w:tc>
        <w:tc>
          <w:tcPr>
            <w:tcW w:w="4816" w:type="dxa"/>
            <w:gridSpan w:val="3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9624" w:type="dxa"/>
            <w:gridSpan w:val="8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A kérelmező vasúttársaság a következő kategóriákba tartozik az alkalmazottak számának tekintetében</w:t>
            </w:r>
          </w:p>
        </w:tc>
      </w:tr>
      <w:tr w:rsidR="009C0E70" w:rsidRPr="009C0E70" w:rsidTr="00BD1D3F">
        <w:tc>
          <w:tcPr>
            <w:tcW w:w="3090" w:type="dxa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1.8. </w:t>
            </w:r>
            <w:proofErr w:type="spell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Mikrovállalkozás</w:t>
            </w:r>
            <w:proofErr w:type="spell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  <w:tc>
          <w:tcPr>
            <w:tcW w:w="6534" w:type="dxa"/>
            <w:gridSpan w:val="7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1.10.Középvállalkozás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</w:tr>
      <w:tr w:rsidR="009C0E70" w:rsidRPr="009C0E70" w:rsidTr="00BD1D3F">
        <w:tc>
          <w:tcPr>
            <w:tcW w:w="3090" w:type="dxa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1.9. Kisvállalkozás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  <w:tc>
          <w:tcPr>
            <w:tcW w:w="6534" w:type="dxa"/>
            <w:gridSpan w:val="7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1.11. Nagyvállalkozás </w:t>
            </w:r>
            <w:r w:rsidRPr="009C0E70">
              <w:rPr>
                <w:rFonts w:ascii="Arial Narrow" w:hAnsi="Arial Narrow" w:cstheme="minorEastAsia"/>
                <w:sz w:val="40"/>
                <w:szCs w:val="40"/>
              </w:rPr>
              <w:t>□</w:t>
            </w:r>
          </w:p>
        </w:tc>
      </w:tr>
      <w:tr w:rsidR="009C0E70" w:rsidRPr="009C0E70" w:rsidTr="00BD1D3F">
        <w:tc>
          <w:tcPr>
            <w:tcW w:w="3104" w:type="dxa"/>
            <w:gridSpan w:val="2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2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1.12. Az üzemeltetni kívánt vonalak</w:t>
            </w:r>
          </w:p>
        </w:tc>
        <w:tc>
          <w:tcPr>
            <w:tcW w:w="6520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3104" w:type="dxa"/>
            <w:gridSpan w:val="2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3104" w:type="dxa"/>
            <w:gridSpan w:val="2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3104" w:type="dxa"/>
            <w:gridSpan w:val="2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3104" w:type="dxa"/>
            <w:gridSpan w:val="2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bCs/>
                <w:sz w:val="20"/>
                <w:szCs w:val="20"/>
              </w:rPr>
              <w:t>AMENNYIBEN A KÉRELMEZŐ MÁR RENDELKEZIK BIZTONSÁGI ENGEDÉLLYEL (BIZTONSÁGI RENDSZER ENGEDÉLYEZÉSE), A KÖVETKEZŐ INFORMÁCIÓVAL KELL SZOLGÁLNIA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1.13. A korábbi biztonsági engedély uniós azonosítószáma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…………………………………………………………</w:t>
            </w:r>
          </w:p>
        </w:tc>
      </w:tr>
      <w:tr w:rsidR="009C0E70" w:rsidRPr="009C0E70" w:rsidTr="00BD1D3F">
        <w:tc>
          <w:tcPr>
            <w:tcW w:w="5304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 KÉRELMEZŐ ADATAI</w:t>
            </w:r>
          </w:p>
        </w:tc>
        <w:tc>
          <w:tcPr>
            <w:tcW w:w="4320" w:type="dxa"/>
            <w:gridSpan w:val="2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2.1. Hivatalos elnevezés 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2.2. Vasúttársaság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neve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  2.3. Betűszavas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elnevezés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</w:tr>
      <w:tr w:rsidR="009C0E70" w:rsidRPr="009C0E70" w:rsidTr="00BD1D3F">
        <w:tc>
          <w:tcPr>
            <w:tcW w:w="5304" w:type="dxa"/>
            <w:gridSpan w:val="6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2.4. Teljes postai cím (utca, irányítószám, hely, ország)</w:t>
            </w:r>
          </w:p>
        </w:tc>
        <w:tc>
          <w:tcPr>
            <w:tcW w:w="4320" w:type="dxa"/>
            <w:gridSpan w:val="2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Telefonszám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2.6.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Faxszám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23.7.E-mail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cím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2.8.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Weboldal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2.9. Nemzeti nyilvántartási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szám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2.10. </w:t>
            </w:r>
            <w:proofErr w:type="spellStart"/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Héaszám</w:t>
            </w:r>
            <w:proofErr w:type="spell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2.11.Egyéb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információk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Kapcsolattartó adatai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3.1. Családi név és utónév</w:t>
            </w:r>
          </w:p>
        </w:tc>
        <w:tc>
          <w:tcPr>
            <w:tcW w:w="5160" w:type="dxa"/>
            <w:gridSpan w:val="4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3.2. Teljes postai cím (utca, irányítószám, hely, ország)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3.3.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Telefonszám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3.4.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Faxszám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</w:tc>
      </w:tr>
      <w:tr w:rsidR="009C0E70" w:rsidRPr="009C0E70" w:rsidTr="00BD1D3F">
        <w:tc>
          <w:tcPr>
            <w:tcW w:w="9624" w:type="dxa"/>
            <w:gridSpan w:val="8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3.5. E-mail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cím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9C0E70" w:rsidRPr="009C0E70" w:rsidTr="00BD1D3F">
        <w:tc>
          <w:tcPr>
            <w:tcW w:w="9624" w:type="dxa"/>
            <w:gridSpan w:val="8"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Kérelmező </w:t>
            </w: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br/>
              <w:t>(utónév, családi név)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Dátum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Aláírás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Belső hivatkozási szám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A kérelem beérkezési </w:t>
            </w:r>
            <w:proofErr w:type="gramStart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dátuma …</w:t>
            </w:r>
            <w:proofErr w:type="gramEnd"/>
            <w:r w:rsidRPr="009C0E7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C0E70" w:rsidRPr="009C0E70" w:rsidTr="00BD1D3F">
        <w:tc>
          <w:tcPr>
            <w:tcW w:w="4464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  <w:gridSpan w:val="4"/>
            <w:hideMark/>
          </w:tcPr>
          <w:p w:rsidR="009C0E70" w:rsidRPr="009C0E70" w:rsidRDefault="009C0E70" w:rsidP="009C0E7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CÍMZETT HIVATAL/HATÓSÁG TÖLTI KI</w:t>
            </w:r>
          </w:p>
        </w:tc>
      </w:tr>
    </w:tbl>
    <w:p w:rsidR="009C0E70" w:rsidRPr="009C0E70" w:rsidRDefault="009C0E70" w:rsidP="009C0E70">
      <w:pPr>
        <w:rPr>
          <w:rFonts w:ascii="Arial" w:hAnsi="Arial"/>
          <w:sz w:val="24"/>
        </w:rPr>
      </w:pPr>
    </w:p>
    <w:p w:rsidR="009C0E70" w:rsidRPr="009C0E70" w:rsidRDefault="009C0E70" w:rsidP="009C0E70">
      <w:pPr>
        <w:spacing w:after="0"/>
        <w:jc w:val="right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br w:type="page"/>
      </w:r>
      <w:r w:rsidRPr="009C0E70">
        <w:rPr>
          <w:rFonts w:ascii="Arial" w:hAnsi="Arial"/>
          <w:sz w:val="24"/>
        </w:rPr>
        <w:lastRenderedPageBreak/>
        <w:t>2. számú melléklet</w:t>
      </w:r>
    </w:p>
    <w:p w:rsidR="009C0E70" w:rsidRPr="009C0E70" w:rsidRDefault="009C0E70" w:rsidP="009C0E70">
      <w:pPr>
        <w:spacing w:after="0" w:line="48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b/>
          <w:sz w:val="24"/>
          <w:szCs w:val="24"/>
          <w:lang w:eastAsia="hu-HU"/>
        </w:rPr>
        <w:t>A vasúti társaság adatai</w:t>
      </w:r>
    </w:p>
    <w:p w:rsidR="009C0E70" w:rsidRPr="009C0E70" w:rsidRDefault="009C0E70" w:rsidP="009C0E70">
      <w:pPr>
        <w:spacing w:after="0" w:line="48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kérelmező teljes neve: 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kérelmező rövid neve: 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Cégbírósági bejegyzés száma: 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Székhelyének címe: 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Levelezési címe: 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Központi telefonszám: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Központi e-mail cím: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Weboldal: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társaság biztonságért felelős vezetőjének neve, beosztása:</w:t>
      </w: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Telefon: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Fax: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e-mail cím: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társaság vasút-üzemeltetésért felelős vezetőjének neve, beosztása:</w:t>
      </w: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Telefon: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Fax: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e-mail cím:</w:t>
      </w:r>
    </w:p>
    <w:p w:rsidR="009C0E70" w:rsidRPr="009C0E70" w:rsidRDefault="009C0E70" w:rsidP="009C0E70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társaság vasúti járművek karbantartásáért felelős vezetőjének neve, beosztása:</w:t>
      </w: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Telefon: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Fax: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e-mail cím:</w:t>
      </w: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képzésért és annak nyilvántartásáért felelős neve, beosztása:</w:t>
      </w: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Telefon: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Fax: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ab/>
        <w:t>e-mail cím:</w:t>
      </w:r>
    </w:p>
    <w:p w:rsidR="009C0E70" w:rsidRPr="009C0E70" w:rsidRDefault="009C0E70" w:rsidP="009C0E70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társaság veszélyes áru szállítási biztonsági tanácsadójának neve, névjegyzéki száma:</w:t>
      </w:r>
    </w:p>
    <w:p w:rsidR="009C0E70" w:rsidRPr="009C0E70" w:rsidRDefault="009C0E70" w:rsidP="009C0E70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tabs>
          <w:tab w:val="left" w:pos="2700"/>
          <w:tab w:val="left" w:pos="5400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Rendkívüli esemény bekövetkezése esetén hívható telefonszám:</w:t>
      </w:r>
    </w:p>
    <w:p w:rsidR="009C0E70" w:rsidRPr="009C0E70" w:rsidRDefault="009C0E70" w:rsidP="009C0E70">
      <w:pPr>
        <w:spacing w:after="100" w:afterAutospacing="1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3</w:t>
      </w:r>
      <w:r w:rsidRPr="009C0E70">
        <w:rPr>
          <w:rFonts w:ascii="Arial" w:eastAsia="Times New Roman" w:hAnsi="Arial" w:cs="Arial"/>
          <w:bCs/>
          <w:sz w:val="24"/>
          <w:szCs w:val="24"/>
          <w:lang w:eastAsia="hu-HU"/>
        </w:rPr>
        <w:t>. számú melléklet</w:t>
      </w:r>
    </w:p>
    <w:p w:rsidR="009C0E70" w:rsidRPr="009C0E70" w:rsidRDefault="009C0E70" w:rsidP="009C0E70">
      <w:pPr>
        <w:keepNext/>
        <w:tabs>
          <w:tab w:val="num" w:pos="0"/>
        </w:tabs>
        <w:spacing w:before="12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" w:name="_GoBack"/>
      <w:bookmarkEnd w:id="2"/>
      <w:r w:rsidRPr="009C0E7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Biztonságirányítási rendszer tartalmi és formai követelményei</w:t>
      </w:r>
    </w:p>
    <w:p w:rsidR="009C0E70" w:rsidRPr="009C0E70" w:rsidRDefault="009C0E70" w:rsidP="009C0E70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24"/>
          <w:lang w:eastAsia="hu-HU"/>
        </w:rPr>
      </w:pPr>
    </w:p>
    <w:p w:rsidR="009C0E70" w:rsidRPr="009C0E70" w:rsidRDefault="009C0E70" w:rsidP="009C0E7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biztonságirányítási rendszert leíró dokumentációt (Biztonságirányítási Kézikönyvet és mellékleteit) a </w:t>
      </w:r>
      <w:r w:rsidRPr="009C0E70">
        <w:rPr>
          <w:rFonts w:ascii="Arial" w:eastAsia="Times New Roman" w:hAnsi="Arial" w:cs="Arial"/>
          <w:i/>
          <w:sz w:val="24"/>
          <w:szCs w:val="24"/>
          <w:lang w:eastAsia="hu-HU"/>
        </w:rPr>
        <w:t>1169/2010/EU rendeletben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foglalt szempont-rendszer alapján kell összeállítani, annak tartalmaznia kell a hazai jogszabályokban </w:t>
      </w:r>
      <w:r w:rsidRPr="009C0E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(alapvetően a </w:t>
      </w:r>
      <w:proofErr w:type="spellStart"/>
      <w:r w:rsidRPr="009C0E70">
        <w:rPr>
          <w:rFonts w:ascii="Arial" w:eastAsia="Times New Roman" w:hAnsi="Arial" w:cs="Arial"/>
          <w:i/>
          <w:sz w:val="20"/>
          <w:szCs w:val="20"/>
          <w:lang w:eastAsia="hu-HU"/>
        </w:rPr>
        <w:t>Vtv.-ben</w:t>
      </w:r>
      <w:proofErr w:type="spellEnd"/>
      <w:r w:rsidRPr="009C0E7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a </w:t>
      </w:r>
      <w:r w:rsidRPr="009C0E70">
        <w:rPr>
          <w:rFonts w:ascii="Arial" w:eastAsia="Times New Roman" w:hAnsi="Arial" w:cs="Arial"/>
          <w:bCs/>
          <w:i/>
          <w:sz w:val="20"/>
          <w:szCs w:val="20"/>
          <w:lang w:eastAsia="hu-HU"/>
        </w:rPr>
        <w:t>40/2006. GKM rendeletbe</w:t>
      </w:r>
      <w:r w:rsidRPr="009C0E70">
        <w:rPr>
          <w:rFonts w:ascii="Arial" w:eastAsia="Times New Roman" w:hAnsi="Arial" w:cs="Arial"/>
          <w:i/>
          <w:sz w:val="20"/>
          <w:szCs w:val="20"/>
          <w:lang w:eastAsia="hu-HU"/>
        </w:rPr>
        <w:t>n, 22/2010. NFM rendeletben, 70/2012. NFM rendeletben)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előírtakat</w:t>
      </w:r>
      <w:r w:rsidRPr="009C0E70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így különös tekintettel a következőket:</w:t>
      </w:r>
    </w:p>
    <w:p w:rsidR="009C0E70" w:rsidRPr="009C0E70" w:rsidRDefault="009C0E70" w:rsidP="009C0E7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vasúti társaság vezetője által jóváhagyott és a társaság vasútüzemével foglalkozó munkavállalóival (továbbiakban munkavállalóival) ismertetett biztonsági politika;</w:t>
      </w:r>
    </w:p>
    <w:p w:rsidR="009C0E70" w:rsidRPr="009C0E70" w:rsidRDefault="009C0E70" w:rsidP="009C0E70">
      <w:pPr>
        <w:spacing w:after="0" w:line="240" w:lineRule="auto"/>
        <w:ind w:left="993"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100" w:line="240" w:lineRule="auto"/>
        <w:ind w:left="993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>: a biztonsági politikát tartalmazó dokumentumot minden munkavállaló által hozzáférhető helyen el is kell helyezni.</w:t>
      </w:r>
    </w:p>
    <w:p w:rsidR="009C0E70" w:rsidRPr="009C0E70" w:rsidRDefault="009C0E70" w:rsidP="009C0E7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vasúti társaságnak a vasúti közlekedés biztonság fenntartása és javítása érdekében konkrét minőségi és mennyiségi, hatásaiban is kimutatható célokat tartalmazó (rövid és középtávú) tervet/terveket kell készítenie, melynek a célok elérésének folyamatát is tartalmaznia kell;</w:t>
      </w:r>
    </w:p>
    <w:p w:rsidR="009C0E70" w:rsidRPr="009C0E70" w:rsidRDefault="009C0E70" w:rsidP="009C0E70">
      <w:pPr>
        <w:spacing w:after="0" w:line="240" w:lineRule="auto"/>
        <w:ind w:left="993"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120" w:line="240" w:lineRule="auto"/>
        <w:ind w:left="993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>: mennyiségi célok lehetnek, pl. a balesetek bekövetkezésének vagy a veszélyeztetések számszerű csökkenése, melynek a biztonsági mutatók számszerű javulásában is meg kell jelennie. (lásd 9. sz. melléklet). A minőségi célok lehetnek, pl. a biztonsággal közvetlenül kapcsolatban lévők szakszerű és pontos munkavégzés, de ide tartozik a mozdonyszemélyzet által időben felfedezett síntörés is vagy az üzemképesség – üzemképtelenség – szolgálatképtelenség. A célokhoz vezető folyamat lehet, pl. az anyagi források biztosítása vezetői szinten az üzemeltetéshez, fenntartáshoz, fejlesztéshez vagy a munkafolyamatba épített belső ellenőrzés.</w:t>
      </w: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azokat az eljárásokat, előírásokat, amelyek:</w:t>
      </w:r>
    </w:p>
    <w:p w:rsidR="009C0E70" w:rsidRPr="009C0E70" w:rsidRDefault="009C0E70" w:rsidP="009C0E70">
      <w:pPr>
        <w:numPr>
          <w:ilvl w:val="1"/>
          <w:numId w:val="9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az átjárhatóságot lehetővé tevő műszaki (</w:t>
      </w:r>
      <w:proofErr w:type="spellStart"/>
      <w:r w:rsidRPr="009C0E70">
        <w:rPr>
          <w:rFonts w:ascii="Arial" w:eastAsia="Times New Roman" w:hAnsi="Arial" w:cs="Arial"/>
          <w:sz w:val="24"/>
          <w:szCs w:val="24"/>
          <w:lang w:eastAsia="hu-HU"/>
        </w:rPr>
        <w:t>ÁME-kben</w:t>
      </w:r>
      <w:proofErr w:type="spellEnd"/>
      <w:r w:rsidRPr="009C0E70">
        <w:rPr>
          <w:rFonts w:ascii="Arial" w:eastAsia="Times New Roman" w:hAnsi="Arial" w:cs="Arial"/>
          <w:sz w:val="24"/>
          <w:szCs w:val="24"/>
          <w:lang w:eastAsia="hu-HU"/>
        </w:rPr>
        <w:t>) és más előírásoknak;</w:t>
      </w:r>
    </w:p>
    <w:p w:rsidR="009C0E70" w:rsidRPr="009C0E70" w:rsidRDefault="009C0E70" w:rsidP="009C0E70">
      <w:pPr>
        <w:numPr>
          <w:ilvl w:val="1"/>
          <w:numId w:val="9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nemzeti vasútbiztonsági szabályoknak, </w:t>
      </w:r>
    </w:p>
    <w:p w:rsidR="009C0E70" w:rsidRPr="009C0E70" w:rsidRDefault="009C0E70" w:rsidP="009C0E70">
      <w:pPr>
        <w:numPr>
          <w:ilvl w:val="1"/>
          <w:numId w:val="9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berendezések és létesítmények teljes életciklusra kiterjedő szabványoknak</w:t>
      </w:r>
    </w:p>
    <w:p w:rsidR="009C0E70" w:rsidRPr="009C0E70" w:rsidRDefault="009C0E70" w:rsidP="009C0E70">
      <w:pPr>
        <w:numPr>
          <w:ilvl w:val="1"/>
          <w:numId w:val="9"/>
        </w:numPr>
        <w:spacing w:after="120" w:line="240" w:lineRule="auto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más jogszabályokban vagy hatósági határozatokban szereplő működési előírásoknak való megfelelést szolgálják.</w:t>
      </w:r>
    </w:p>
    <w:p w:rsidR="009C0E70" w:rsidRPr="009C0E70" w:rsidRDefault="009C0E70" w:rsidP="009C0E70">
      <w:pPr>
        <w:spacing w:after="0" w:line="240" w:lineRule="auto"/>
        <w:ind w:left="1560" w:hanging="56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C0E70">
        <w:rPr>
          <w:rFonts w:ascii="Arial" w:eastAsia="Times New Roman" w:hAnsi="Arial" w:cs="Arial"/>
          <w:sz w:val="20"/>
          <w:szCs w:val="20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0"/>
          <w:lang w:eastAsia="hu-HU"/>
        </w:rPr>
        <w:t>: itt kell felsorolni azokat</w:t>
      </w:r>
    </w:p>
    <w:p w:rsidR="009C0E70" w:rsidRPr="009C0E70" w:rsidRDefault="009C0E70" w:rsidP="009C0E70">
      <w:pPr>
        <w:numPr>
          <w:ilvl w:val="8"/>
          <w:numId w:val="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lang w:eastAsia="hu-HU"/>
        </w:rPr>
        <w:t>az EU és hazai jogszabályokat,</w:t>
      </w:r>
    </w:p>
    <w:p w:rsidR="009C0E70" w:rsidRPr="009C0E70" w:rsidRDefault="009C0E70" w:rsidP="009C0E70">
      <w:pPr>
        <w:numPr>
          <w:ilvl w:val="8"/>
          <w:numId w:val="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lang w:eastAsia="hu-HU"/>
        </w:rPr>
        <w:t>forgalmi és műszaki előírásokat,</w:t>
      </w:r>
    </w:p>
    <w:p w:rsidR="009C0E70" w:rsidRPr="009C0E70" w:rsidRDefault="009C0E70" w:rsidP="009C0E70">
      <w:pPr>
        <w:numPr>
          <w:ilvl w:val="8"/>
          <w:numId w:val="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lang w:eastAsia="hu-HU"/>
        </w:rPr>
        <w:t>saját és mástól átvett belső utasításokat</w:t>
      </w:r>
    </w:p>
    <w:p w:rsidR="009C0E70" w:rsidRPr="009C0E70" w:rsidRDefault="009C0E70" w:rsidP="009C0E70">
      <w:pPr>
        <w:numPr>
          <w:ilvl w:val="8"/>
          <w:numId w:val="2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lang w:eastAsia="hu-HU"/>
        </w:rPr>
        <w:t xml:space="preserve">a vasúti hatóság által előírt határozatokat vagy határozattal jóváhagyott utasításokat, </w:t>
      </w:r>
      <w:r w:rsidRPr="009C0E70">
        <w:rPr>
          <w:rFonts w:ascii="Arial" w:eastAsia="Times New Roman" w:hAnsi="Arial" w:cs="Arial"/>
          <w:sz w:val="20"/>
          <w:szCs w:val="20"/>
          <w:lang w:eastAsia="hu-HU"/>
        </w:rPr>
        <w:t>amelyek a vasúti közlekedés biztonságos lebonyolításának feltételeit a vasúti társaság részére előírják, valamint azokat meghatározzák. Meg kell adni ezek tárolási helyét, hozzáférhetőségét.</w:t>
      </w:r>
    </w:p>
    <w:p w:rsidR="009C0E70" w:rsidRPr="009C0E70" w:rsidRDefault="009C0E70" w:rsidP="009C0E7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20" w:line="240" w:lineRule="auto"/>
        <w:ind w:left="992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vasúti társaságon belül azt az eljárási rendet (folyamatot), amikor az üzemeltetési feltételekben változásokat terveznek vagy új berendezések, eszközök, anyagok stb. alkalmazására kerül sor és ezek újabb kockázatot 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jelentenek az infrastruktúrára vagy az üzemeltetésre nézve. A kockázat elemzési módszer, az értékelés és kockázatkezelési intézkedések végrehajtása része kell, hogy legyen az eljárási rendnek;</w:t>
      </w:r>
    </w:p>
    <w:p w:rsidR="009C0E70" w:rsidRPr="009C0E70" w:rsidRDefault="009C0E70" w:rsidP="009C0E7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meg kell határozni a vasúti közlekedés biztonságával összefüggő munkakörben foglalkoztatott munkavállalók képzési rendszerét, mely magában foglalja e munkavállalók kiképzését, szinten tartó oktatását, az ismeretbővítő képzéseket. Rendelkezni kell az időszakos oktatások ütemezésére, a regisztrált szervezet által készített „Oktatási ütemterv”</w:t>
      </w:r>
      <w:proofErr w:type="spellStart"/>
      <w:r w:rsidRPr="009C0E70">
        <w:rPr>
          <w:rFonts w:ascii="Arial" w:eastAsia="Times New Roman" w:hAnsi="Arial" w:cs="Arial"/>
          <w:sz w:val="24"/>
          <w:szCs w:val="24"/>
          <w:lang w:eastAsia="hu-HU"/>
        </w:rPr>
        <w:t>-vel</w:t>
      </w:r>
      <w:proofErr w:type="spellEnd"/>
      <w:r w:rsidRPr="009C0E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0E70" w:rsidRPr="009C0E70" w:rsidRDefault="009C0E70" w:rsidP="009C0E70">
      <w:pPr>
        <w:spacing w:before="360" w:after="0" w:line="240" w:lineRule="auto"/>
        <w:ind w:left="992"/>
        <w:contextualSpacing/>
        <w:jc w:val="both"/>
        <w:rPr>
          <w:rFonts w:ascii="Arial" w:eastAsia="Times New Roman" w:hAnsi="Arial" w:cs="Arial"/>
          <w:sz w:val="14"/>
          <w:szCs w:val="24"/>
          <w:u w:val="single"/>
          <w:lang w:eastAsia="hu-HU"/>
        </w:rPr>
      </w:pPr>
    </w:p>
    <w:p w:rsidR="009C0E70" w:rsidRPr="009C0E70" w:rsidRDefault="009C0E70" w:rsidP="009C0E70">
      <w:pPr>
        <w:spacing w:before="360" w:after="0" w:line="240" w:lineRule="auto"/>
        <w:ind w:left="992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Megjegyzés: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 xml:space="preserve"> Regisztrált szervezet a 19/2011. (V.10.) NFM rendelet 24 § meghatározott oktatásszervezési regisztrációval rendelkező képzőszervezet, vagy az adott munkakörben munkavállalókat foglalkoztató, és a felnőttképzésről szóló törvény szerinti belső képzés ellátásához szükséges egyszerűsített felnőttképzési nyilvántartásban szereplő vasúti társaság lehet.</w:t>
      </w:r>
    </w:p>
    <w:p w:rsidR="009C0E70" w:rsidRPr="009C0E70" w:rsidRDefault="009C0E70" w:rsidP="009C0E70">
      <w:pPr>
        <w:spacing w:before="360" w:after="0" w:line="240" w:lineRule="auto"/>
        <w:ind w:left="992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2" w:hanging="357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intézkedéseket a szervezeten belüli megfelelő információáramlás érdekében, és ahol szükséges, az ugyanazon az infrastruktúrán üzemeltetést végzők között;</w:t>
      </w:r>
    </w:p>
    <w:p w:rsidR="009C0E70" w:rsidRPr="009C0E70" w:rsidRDefault="009C0E70" w:rsidP="009C0E70">
      <w:pPr>
        <w:spacing w:after="100" w:line="240" w:lineRule="auto"/>
        <w:ind w:left="992"/>
        <w:contextualSpacing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100" w:line="240" w:lineRule="auto"/>
        <w:ind w:left="993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>: részletesen meg kell határozni a vasúti társaságon belüli ügyviteli rendet, az eseményekről az értesítési rendet, állomásokon kapcsolódni kell az Állomási Végrehajtási Utasítás- hoz stb.</w:t>
      </w: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eljárások és alakiságok kidolgozását a vasútbiztonsági információk dokumentálására, valamint eljárásokat a döntő fontosságú vasútbiztonsági információk összeállítására;</w:t>
      </w:r>
    </w:p>
    <w:p w:rsidR="009C0E70" w:rsidRPr="009C0E70" w:rsidRDefault="009C0E70" w:rsidP="009C0E70">
      <w:pPr>
        <w:spacing w:after="100" w:line="240" w:lineRule="auto"/>
        <w:ind w:left="993"/>
        <w:contextualSpacing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>: itt kell meghatározni pl. azokat a formanyomtatványokat, amelyek a vonat összeállításnál, vizsgálatnál, közlekedésnél használatosak, stb.</w:t>
      </w:r>
    </w:p>
    <w:p w:rsidR="009C0E70" w:rsidRPr="009C0E70" w:rsidRDefault="009C0E70" w:rsidP="009C0E7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2" w:hanging="357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közlekedési hatósággal egyeztetett módon a balesetek és a váratlan vasúti események haladéktalan bejelentésére, valamint vizsgálatának végrehajtására létrehozott, folyamatos ügyeletet és készenlétet ellátó biztonsági szervezetet, továbbá a balesetek és váratlan vasúti események kivizsgálása és elemezése alapján a szükséges megelőző intézkedések meghozatalát biztosító rendszer kialakítását;</w:t>
      </w:r>
    </w:p>
    <w:p w:rsidR="009C0E70" w:rsidRPr="009C0E70" w:rsidRDefault="009C0E70" w:rsidP="009C0E70">
      <w:pPr>
        <w:spacing w:after="100" w:line="240" w:lineRule="auto"/>
        <w:ind w:left="992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2" w:hanging="357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balesetek és váratlan események következményeinek elhárításához szükséges riasztási, bevetési rendszer kialakítását;</w:t>
      </w:r>
    </w:p>
    <w:p w:rsidR="009C0E70" w:rsidRPr="009C0E70" w:rsidRDefault="009C0E70" w:rsidP="009C0E70">
      <w:pPr>
        <w:spacing w:after="100" w:line="240" w:lineRule="auto"/>
        <w:contextualSpacing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100" w:line="240" w:lineRule="auto"/>
        <w:ind w:left="993"/>
        <w:jc w:val="both"/>
        <w:rPr>
          <w:rFonts w:ascii="Arial" w:eastAsia="Times New Roman" w:hAnsi="Arial" w:cs="Arial"/>
          <w:sz w:val="23"/>
          <w:szCs w:val="24"/>
          <w:lang w:eastAsia="hu-HU"/>
        </w:rPr>
      </w:pPr>
      <w:r w:rsidRPr="009C0E70">
        <w:rPr>
          <w:rFonts w:ascii="Arial" w:eastAsia="Times New Roman" w:hAnsi="Arial" w:cs="Arial"/>
          <w:sz w:val="20"/>
          <w:szCs w:val="24"/>
          <w:u w:val="single"/>
          <w:lang w:eastAsia="hu-HU"/>
        </w:rPr>
        <w:t>Megjegyzés</w:t>
      </w:r>
      <w:r w:rsidRPr="009C0E70">
        <w:rPr>
          <w:rFonts w:ascii="Arial" w:eastAsia="Times New Roman" w:hAnsi="Arial" w:cs="Arial"/>
          <w:sz w:val="20"/>
          <w:szCs w:val="24"/>
          <w:lang w:eastAsia="hu-HU"/>
        </w:rPr>
        <w:t>: itt kell meghatározni a rendkívüli események bekövetkezése esetén a riasztási rendet, az elhárításban résztvevő szervezeteket (ügyeleti telefon, fax, e-mail)</w:t>
      </w:r>
    </w:p>
    <w:p w:rsidR="009C0E70" w:rsidRPr="009C0E70" w:rsidRDefault="009C0E70" w:rsidP="009C0E70">
      <w:pPr>
        <w:numPr>
          <w:ilvl w:val="0"/>
          <w:numId w:val="8"/>
        </w:numPr>
        <w:spacing w:after="100" w:line="240" w:lineRule="auto"/>
        <w:ind w:left="993"/>
        <w:contextualSpacing/>
        <w:jc w:val="both"/>
        <w:rPr>
          <w:rFonts w:ascii="Arial" w:eastAsia="Times New Roman" w:hAnsi="Arial" w:cs="Arial"/>
          <w:sz w:val="23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biztonságirányítási rendszer belső ellenőrzési rendszerét;</w:t>
      </w:r>
    </w:p>
    <w:p w:rsidR="009C0E70" w:rsidRPr="009C0E70" w:rsidRDefault="009C0E70" w:rsidP="009C0E70">
      <w:pPr>
        <w:spacing w:after="100" w:line="240" w:lineRule="auto"/>
        <w:ind w:left="993"/>
        <w:contextualSpacing/>
        <w:jc w:val="both"/>
        <w:rPr>
          <w:rFonts w:ascii="Arial" w:eastAsia="Times New Roman" w:hAnsi="Arial" w:cs="Arial"/>
          <w:sz w:val="14"/>
          <w:szCs w:val="24"/>
          <w:lang w:eastAsia="hu-HU"/>
        </w:rPr>
      </w:pPr>
    </w:p>
    <w:p w:rsidR="009C0E70" w:rsidRPr="009C0E70" w:rsidRDefault="009C0E70" w:rsidP="009C0E70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hu-HU"/>
        </w:rPr>
      </w:pPr>
      <w:r w:rsidRPr="009C0E70">
        <w:rPr>
          <w:rFonts w:ascii="Arial" w:hAnsi="Arial" w:cs="Arial"/>
          <w:sz w:val="20"/>
          <w:szCs w:val="20"/>
          <w:u w:val="single"/>
          <w:lang w:eastAsia="hu-HU"/>
        </w:rPr>
        <w:t>Megjegyzés</w:t>
      </w:r>
      <w:r w:rsidRPr="009C0E70">
        <w:rPr>
          <w:rFonts w:ascii="Arial" w:hAnsi="Arial" w:cs="Arial"/>
          <w:sz w:val="20"/>
          <w:szCs w:val="20"/>
          <w:lang w:eastAsia="hu-HU"/>
        </w:rPr>
        <w:t>: itt kell meghatározni, hogy a vasúti társaság különböző vezetői és munkavállalói szintjein milyen és milyen rendszerességgel végeznek ellenőrzéseket, milyen folyamatban valósulnak meg a hibajavító intézkedések, valamint a visszaellenőrzések.</w:t>
      </w:r>
    </w:p>
    <w:p w:rsidR="009C0E70" w:rsidRPr="009C0E70" w:rsidRDefault="009C0E70" w:rsidP="009C0E7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az országos működési engedéllyel rendelkező vasúti társaság esetében a vasúti járművezetői tanúsítvány kiadása és megújítása során követendő eljárást, valamint a tanúsítvány megszerzéséhez szükséges alapvizsga, és megújításához az időszakos vizsgák gyakoriságának meghatározását, továbbá a tanúsítvány kiállítására, megújítására, felfüggesztésére vagy visszavonására vonatkozó munkáltatói döntés felülvizsgálatára irányuló, a vasúti járművezető kérelmére indítható eljárás ismertetését;</w:t>
      </w:r>
    </w:p>
    <w:p w:rsidR="009C0E70" w:rsidRPr="009C0E70" w:rsidRDefault="009C0E70" w:rsidP="009C0E70">
      <w:p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a vasúti járművezetők ellenőrzésére hivatott rendszert, a vasúti járművezetőnek a munkakör betöltésére vonatkozó feltételeknek való meg nem felelésére utaló körülmény felmerülése esetén a megteendő intézkedések meghatározását;</w:t>
      </w:r>
    </w:p>
    <w:p w:rsidR="009C0E70" w:rsidRPr="009C0E70" w:rsidRDefault="009C0E70" w:rsidP="009C0E70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a vasúti társaság vasúti közlekedéssel összefüggő munkavállalói esetében a biztonságirányítási rendszerre vonatkozó képzésnek a szabályait;</w:t>
      </w:r>
    </w:p>
    <w:p w:rsidR="009C0E70" w:rsidRPr="009C0E70" w:rsidRDefault="009C0E70" w:rsidP="009C0E70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vasúti járműszemélyzet szolgálatának ellátásához szükséges Útvonalkönyvvel való ellátását.</w:t>
      </w:r>
    </w:p>
    <w:p w:rsidR="009C0E70" w:rsidRPr="009C0E70" w:rsidRDefault="009C0E70" w:rsidP="009C0E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biztonságirányítási rendszer eljárásainak tartalmaznia kell:</w:t>
      </w:r>
    </w:p>
    <w:p w:rsidR="009C0E70" w:rsidRPr="009C0E70" w:rsidRDefault="009C0E70" w:rsidP="009C0E7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folyamat leírását,</w:t>
      </w:r>
    </w:p>
    <w:p w:rsidR="009C0E70" w:rsidRPr="009C0E70" w:rsidRDefault="009C0E70" w:rsidP="009C0E7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folyamat felelősét,</w:t>
      </w:r>
    </w:p>
    <w:p w:rsidR="009C0E70" w:rsidRPr="009C0E70" w:rsidRDefault="009C0E70" w:rsidP="009C0E7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keletkező dokumentumokat,</w:t>
      </w:r>
    </w:p>
    <w:p w:rsidR="009C0E70" w:rsidRPr="009C0E70" w:rsidRDefault="009C0E70" w:rsidP="009C0E7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az ellenőrzést és az ellenőr személyét (munkakör).</w:t>
      </w:r>
    </w:p>
    <w:p w:rsidR="009C0E70" w:rsidRPr="009C0E70" w:rsidRDefault="009C0E70" w:rsidP="009C0E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0E70" w:rsidRPr="009C0E70" w:rsidRDefault="009C0E70" w:rsidP="009C0E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A biztonságirányítási rendszerről szóló dokumentáció összeállításához segítséget nyújtanak az Európai Vasútügynökség honlapján elérhető információk, így a követelmények megértését megkönnyítő magyar nyelven is letölthető kiadmány. A kiadmány elérhető az alábbi hivatkozás segítségével:</w:t>
      </w:r>
    </w:p>
    <w:p w:rsidR="009C0E70" w:rsidRPr="009C0E70" w:rsidRDefault="00250B8D" w:rsidP="009C0E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9C0E70" w:rsidRPr="009C0E7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http://www.era.europa.eu/Document-Register/Documents/sms_guide_a-system-approach_1_hu.pdf</w:t>
        </w:r>
      </w:hyperlink>
    </w:p>
    <w:p w:rsidR="009C0E70" w:rsidRPr="009C0E70" w:rsidRDefault="009C0E70" w:rsidP="009C0E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E70" w:rsidRPr="009C0E70" w:rsidRDefault="009C0E70" w:rsidP="009C0E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A 3. mellékletben (A vasútbiztonsági engedély megszerzéséhez szükséges követelményeknek való megfelelés-értékelés) 2. „Hivatkozás Biztonságirányítási kézikönyv” oszlopában a vasúti társaságnak </w:t>
      </w:r>
      <w:r w:rsidRPr="009C0E70">
        <w:rPr>
          <w:rFonts w:ascii="Arial" w:eastAsia="Times New Roman" w:hAnsi="Arial" w:cs="Arial"/>
          <w:b/>
          <w:sz w:val="24"/>
          <w:szCs w:val="24"/>
          <w:lang w:eastAsia="hu-HU"/>
        </w:rPr>
        <w:t>meg kell jelölnie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 xml:space="preserve"> a fent említett </w:t>
      </w:r>
      <w:r w:rsidRPr="009C0E70">
        <w:rPr>
          <w:rFonts w:ascii="Arial" w:eastAsia="Times New Roman" w:hAnsi="Arial" w:cs="Arial"/>
          <w:b/>
          <w:sz w:val="24"/>
          <w:szCs w:val="24"/>
          <w:lang w:eastAsia="hu-HU"/>
        </w:rPr>
        <w:t>pontoknál/alpontoknál az egyes szempontoknak való megfelelés teljesítését igazoló eljárások pontos helyét a beadott dokumentumokban</w:t>
      </w:r>
      <w:r w:rsidRPr="009C0E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0E70" w:rsidRPr="009C0E70" w:rsidRDefault="009C0E70" w:rsidP="009C0E70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t>(fejezet, alfejezet, melléklet stb. meghatározásával)</w:t>
      </w:r>
    </w:p>
    <w:p w:rsidR="009C0E70" w:rsidRPr="00EF253B" w:rsidRDefault="009C0E70" w:rsidP="00EF253B">
      <w:pPr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="00EF253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4. számú melléklet</w:t>
      </w:r>
    </w:p>
    <w:p w:rsidR="00EF253B" w:rsidRPr="009C0E70" w:rsidRDefault="00EF253B" w:rsidP="009C0E70">
      <w:pPr>
        <w:tabs>
          <w:tab w:val="left" w:pos="567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E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DA811AC" wp14:editId="03BAB31A">
            <wp:extent cx="5760720" cy="802831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70" w:rsidRPr="009C0E70" w:rsidRDefault="009C0E70" w:rsidP="009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E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7A8CA00" wp14:editId="415A2882">
            <wp:extent cx="5631180" cy="878586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70" w:rsidRPr="009C0E70" w:rsidRDefault="009C0E70" w:rsidP="009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E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94D8BE3" wp14:editId="2EFC8A7D">
            <wp:extent cx="5989320" cy="88620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70" w:rsidRPr="009C0E70" w:rsidRDefault="009C0E70" w:rsidP="009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E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DE9D12F" wp14:editId="3E0AE864">
            <wp:extent cx="5539740" cy="8907780"/>
            <wp:effectExtent l="0" t="0" r="381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70" w:rsidRPr="009C0E70" w:rsidRDefault="009C0E70" w:rsidP="009C0E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C0E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36A16AB" wp14:editId="47F48BE4">
            <wp:extent cx="6111240" cy="57454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70" w:rsidRPr="009C0E70" w:rsidRDefault="009C0E70" w:rsidP="009C0E7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ar-SA"/>
        </w:rPr>
      </w:pPr>
      <w:r w:rsidRPr="009C0E70">
        <w:rPr>
          <w:rFonts w:ascii="Arial" w:eastAsia="Times New Roman" w:hAnsi="Arial" w:cs="Arial"/>
          <w:sz w:val="24"/>
          <w:lang w:eastAsia="ar-SA"/>
        </w:rPr>
        <w:t xml:space="preserve"> </w:t>
      </w:r>
    </w:p>
    <w:p w:rsidR="009C0E70" w:rsidRPr="009C0E70" w:rsidRDefault="009C0E70" w:rsidP="009C0E70">
      <w:pPr>
        <w:rPr>
          <w:rFonts w:ascii="Arial" w:eastAsia="Times New Roman" w:hAnsi="Arial" w:cs="Arial"/>
          <w:sz w:val="24"/>
          <w:lang w:eastAsia="ar-SA"/>
        </w:rPr>
      </w:pPr>
      <w:r w:rsidRPr="009C0E70">
        <w:rPr>
          <w:rFonts w:ascii="Arial" w:eastAsia="Times New Roman" w:hAnsi="Arial" w:cs="Arial"/>
          <w:sz w:val="24"/>
          <w:lang w:eastAsia="ar-SA"/>
        </w:rPr>
        <w:br w:type="page"/>
      </w:r>
    </w:p>
    <w:p w:rsidR="009C0E70" w:rsidRPr="009C0E70" w:rsidRDefault="009C0E70" w:rsidP="009C0E70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lang w:eastAsia="ar-SA"/>
        </w:rPr>
      </w:pPr>
      <w:r w:rsidRPr="009C0E70">
        <w:rPr>
          <w:rFonts w:ascii="Arial" w:eastAsia="Times New Roman" w:hAnsi="Arial" w:cs="Arial"/>
          <w:sz w:val="24"/>
          <w:lang w:eastAsia="ar-SA"/>
        </w:rPr>
        <w:lastRenderedPageBreak/>
        <w:t>5. számú melléklet</w:t>
      </w:r>
    </w:p>
    <w:p w:rsidR="009C0E70" w:rsidRPr="009C0E70" w:rsidRDefault="009C0E70" w:rsidP="009C0E70">
      <w:pPr>
        <w:rPr>
          <w:rFonts w:ascii="Arial" w:hAnsi="Arial"/>
          <w:sz w:val="24"/>
        </w:rPr>
      </w:pPr>
    </w:p>
    <w:p w:rsidR="009C0E70" w:rsidRPr="009C0E70" w:rsidRDefault="009C0E70" w:rsidP="009C0E70">
      <w:pPr>
        <w:jc w:val="center"/>
        <w:rPr>
          <w:rFonts w:ascii="Arial" w:hAnsi="Arial"/>
          <w:b/>
          <w:sz w:val="32"/>
        </w:rPr>
      </w:pPr>
      <w:r w:rsidRPr="009C0E70">
        <w:rPr>
          <w:rFonts w:ascii="Arial" w:hAnsi="Arial"/>
          <w:b/>
          <w:sz w:val="32"/>
        </w:rPr>
        <w:t>Nyilatkozat</w:t>
      </w:r>
    </w:p>
    <w:p w:rsidR="009C0E70" w:rsidRPr="009C0E70" w:rsidRDefault="009C0E70" w:rsidP="009C0E70">
      <w:pPr>
        <w:ind w:left="720"/>
        <w:contextualSpacing/>
        <w:jc w:val="center"/>
        <w:rPr>
          <w:rFonts w:ascii="Arial" w:hAnsi="Arial"/>
          <w:b/>
          <w:sz w:val="24"/>
        </w:rPr>
      </w:pPr>
      <w:r w:rsidRPr="009C0E70">
        <w:rPr>
          <w:rFonts w:ascii="Arial" w:hAnsi="Arial"/>
          <w:b/>
          <w:sz w:val="24"/>
        </w:rPr>
        <w:t>- vasútbiztonsági engedély iránti kérelem része -</w:t>
      </w:r>
    </w:p>
    <w:p w:rsidR="009C0E70" w:rsidRPr="009C0E70" w:rsidRDefault="009C0E70" w:rsidP="009C0E70">
      <w:pPr>
        <w:rPr>
          <w:rFonts w:ascii="Arial" w:hAnsi="Arial"/>
          <w:sz w:val="24"/>
        </w:rPr>
      </w:pP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Alulírott cégjegyzésre jogosult személy, kijelentem, hogy a VASÚTI TÁRSASÁG NEVE:</w:t>
      </w:r>
    </w:p>
    <w:p w:rsidR="009C0E70" w:rsidRPr="009C0E70" w:rsidRDefault="009C0E70" w:rsidP="009C0E70">
      <w:pPr>
        <w:numPr>
          <w:ilvl w:val="0"/>
          <w:numId w:val="4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az általa benyújtott biztonságirányítási rendszert leíró dokumentumok a vasútbiztonsági tanúsítványra, a biztonsági engedélyre, a biztonságirányítási rendszerekre, a biztonsági jelentésre, valamint az egyes hatósági engedélyezési eljárásokra vonatkozó részletes szabályokról szóló 40/2006. (VI.26.) GKM rendelet szerinti tartalommal rendelkeznek, valamint e dokumentumok szerint végzi tevékenységét;</w:t>
      </w:r>
    </w:p>
    <w:p w:rsidR="009C0E70" w:rsidRPr="009C0E70" w:rsidRDefault="009C0E70" w:rsidP="009C0E70">
      <w:pPr>
        <w:ind w:left="720"/>
        <w:contextualSpacing/>
        <w:jc w:val="both"/>
        <w:rPr>
          <w:rFonts w:ascii="Arial" w:hAnsi="Arial"/>
          <w:sz w:val="24"/>
        </w:rPr>
      </w:pPr>
    </w:p>
    <w:p w:rsidR="009C0E70" w:rsidRPr="009C0E70" w:rsidRDefault="009C0E70" w:rsidP="009C0E70">
      <w:pPr>
        <w:numPr>
          <w:ilvl w:val="0"/>
          <w:numId w:val="4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azon alkalmazottait, akiket a vasúti közlekedés biztonságával összefüggő munkakörökben foglalkoztat, megfelelő képzettséggel rendelkeznek szolgálatuk biztonságos ellátásához;</w:t>
      </w:r>
    </w:p>
    <w:p w:rsidR="009C0E70" w:rsidRPr="009C0E70" w:rsidRDefault="009C0E70" w:rsidP="009C0E70">
      <w:pPr>
        <w:ind w:left="720"/>
        <w:contextualSpacing/>
        <w:jc w:val="both"/>
        <w:rPr>
          <w:rFonts w:ascii="Arial" w:hAnsi="Arial"/>
          <w:sz w:val="24"/>
        </w:rPr>
      </w:pPr>
    </w:p>
    <w:p w:rsidR="009C0E70" w:rsidRPr="009C0E70" w:rsidRDefault="009C0E70" w:rsidP="009C0E70">
      <w:pPr>
        <w:numPr>
          <w:ilvl w:val="0"/>
          <w:numId w:val="4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a vasúti járműveinek üzemeltetését és karbantartását a „Jogszabályok, utasítások, belső szabályzatok” című dokumentumban meghatározott követelmények szerint végzi;</w:t>
      </w:r>
    </w:p>
    <w:p w:rsidR="009C0E70" w:rsidRPr="009C0E70" w:rsidRDefault="009C0E70" w:rsidP="009C0E70">
      <w:pPr>
        <w:ind w:left="720"/>
        <w:contextualSpacing/>
        <w:rPr>
          <w:rFonts w:ascii="Arial" w:hAnsi="Arial"/>
          <w:sz w:val="24"/>
        </w:rPr>
      </w:pPr>
    </w:p>
    <w:p w:rsidR="009C0E70" w:rsidRPr="009C0E70" w:rsidRDefault="009C0E70" w:rsidP="009C0E70">
      <w:pPr>
        <w:numPr>
          <w:ilvl w:val="0"/>
          <w:numId w:val="4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pályahálózatának üzemeltetését „Jogszabályok, utasítások, belső szabályzatok” című dokumentumban meghatározott követelmények szerint végzi.</w:t>
      </w:r>
    </w:p>
    <w:p w:rsidR="009C0E70" w:rsidRPr="009C0E70" w:rsidRDefault="009C0E70" w:rsidP="009C0E70">
      <w:pPr>
        <w:rPr>
          <w:rFonts w:ascii="Arial" w:hAnsi="Arial"/>
          <w:sz w:val="24"/>
        </w:rPr>
      </w:pPr>
    </w:p>
    <w:p w:rsidR="009C0E70" w:rsidRPr="009C0E70" w:rsidRDefault="009C0E70" w:rsidP="009C0E70">
      <w:pPr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Felelősségem tudatában kijelentem, hogy a közölt adatok a valóságnak megfelelnek.</w:t>
      </w:r>
    </w:p>
    <w:p w:rsidR="009C0E70" w:rsidRPr="009C0E70" w:rsidRDefault="009C0E70" w:rsidP="009C0E70">
      <w:pPr>
        <w:rPr>
          <w:rFonts w:ascii="Arial" w:hAnsi="Arial"/>
          <w:sz w:val="24"/>
        </w:rPr>
      </w:pPr>
    </w:p>
    <w:p w:rsidR="009C0E70" w:rsidRPr="009C0E70" w:rsidRDefault="009C0E70" w:rsidP="009C0E70">
      <w:pPr>
        <w:rPr>
          <w:rFonts w:ascii="Arial" w:hAnsi="Arial"/>
          <w:sz w:val="24"/>
        </w:rPr>
      </w:pPr>
      <w:proofErr w:type="gramStart"/>
      <w:r w:rsidRPr="009C0E70">
        <w:rPr>
          <w:rFonts w:ascii="Arial" w:hAnsi="Arial"/>
          <w:sz w:val="24"/>
        </w:rPr>
        <w:t>helység</w:t>
      </w:r>
      <w:proofErr w:type="gramEnd"/>
      <w:r w:rsidRPr="009C0E70">
        <w:rPr>
          <w:rFonts w:ascii="Arial" w:hAnsi="Arial"/>
          <w:sz w:val="24"/>
        </w:rPr>
        <w:t xml:space="preserve"> </w:t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  <w:t xml:space="preserve">dátum </w:t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</w:r>
      <w:r w:rsidRPr="009C0E70">
        <w:rPr>
          <w:rFonts w:ascii="Arial" w:hAnsi="Arial"/>
          <w:sz w:val="24"/>
        </w:rPr>
        <w:tab/>
        <w:t>cégszerű aláírás</w:t>
      </w:r>
    </w:p>
    <w:p w:rsidR="009C0E70" w:rsidRPr="009C0E70" w:rsidRDefault="009C0E70" w:rsidP="009C0E70">
      <w:pPr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br w:type="page"/>
      </w:r>
    </w:p>
    <w:p w:rsidR="009C0E70" w:rsidRPr="009C0E70" w:rsidRDefault="009C0E70" w:rsidP="009C0E70">
      <w:pPr>
        <w:jc w:val="center"/>
        <w:rPr>
          <w:rFonts w:ascii="Arial" w:hAnsi="Arial"/>
          <w:b/>
          <w:sz w:val="28"/>
        </w:rPr>
      </w:pPr>
      <w:r w:rsidRPr="009C0E70">
        <w:rPr>
          <w:rFonts w:ascii="Arial" w:hAnsi="Arial"/>
          <w:b/>
          <w:sz w:val="28"/>
        </w:rPr>
        <w:lastRenderedPageBreak/>
        <w:t>Jogszabályok, utasítások, belső szabályzatok</w:t>
      </w:r>
    </w:p>
    <w:p w:rsidR="009C0E70" w:rsidRPr="009C0E70" w:rsidRDefault="009C0E70" w:rsidP="009C0E70">
      <w:pPr>
        <w:jc w:val="center"/>
        <w:rPr>
          <w:rFonts w:ascii="Arial" w:hAnsi="Arial"/>
          <w:b/>
          <w:sz w:val="24"/>
        </w:rPr>
      </w:pPr>
      <w:r w:rsidRPr="009C0E70">
        <w:rPr>
          <w:rFonts w:ascii="Arial" w:hAnsi="Arial"/>
          <w:b/>
          <w:sz w:val="24"/>
        </w:rPr>
        <w:t>- vasútbiztonsági engedély iránti kérelem része -</w:t>
      </w: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A VASÚTI TÁRSASÁG NEVE az alább felsorolt szabályzók figyelembe vételével végzi tevékenységét.</w:t>
      </w: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Jogszabályok</w:t>
      </w:r>
    </w:p>
    <w:p w:rsidR="009C0E70" w:rsidRPr="009C0E70" w:rsidRDefault="009C0E70" w:rsidP="009C0E70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 w:cs="Arial"/>
          <w:sz w:val="23"/>
          <w:szCs w:val="23"/>
        </w:rPr>
        <w:t>2005. évi CLXXXIII. törvény a vasúti közlekedésről;</w:t>
      </w:r>
    </w:p>
    <w:p w:rsidR="009C0E70" w:rsidRPr="009C0E70" w:rsidRDefault="009C0E70" w:rsidP="009C0E70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stb.</w:t>
      </w: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Utasítások</w:t>
      </w:r>
    </w:p>
    <w:p w:rsidR="009C0E70" w:rsidRPr="009C0E70" w:rsidRDefault="009C0E70" w:rsidP="009C0E70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F.1. sz. Jelzési Utasítás</w:t>
      </w:r>
    </w:p>
    <w:p w:rsidR="009C0E70" w:rsidRPr="009C0E70" w:rsidRDefault="009C0E70" w:rsidP="009C0E70">
      <w:pPr>
        <w:numPr>
          <w:ilvl w:val="0"/>
          <w:numId w:val="6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stb.</w:t>
      </w: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</w:p>
    <w:p w:rsidR="009C0E70" w:rsidRPr="009C0E70" w:rsidRDefault="009C0E70" w:rsidP="009C0E70">
      <w:pPr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Belső szabályzatok</w:t>
      </w:r>
    </w:p>
    <w:p w:rsidR="009C0E70" w:rsidRPr="009C0E70" w:rsidRDefault="009C0E70" w:rsidP="009C0E70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Szervezeti és Működési Szabályzat (SZMSZ)</w:t>
      </w:r>
    </w:p>
    <w:p w:rsidR="009C0E70" w:rsidRPr="009C0E70" w:rsidRDefault="009C0E70" w:rsidP="009C0E70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t>stb.</w:t>
      </w:r>
    </w:p>
    <w:p w:rsidR="009C0E70" w:rsidRPr="009C0E70" w:rsidRDefault="009C0E70" w:rsidP="009C0E70">
      <w:pPr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br w:type="page"/>
      </w:r>
    </w:p>
    <w:p w:rsidR="009C0E70" w:rsidRPr="009C0E70" w:rsidRDefault="009C0E70" w:rsidP="009C0E70">
      <w:pPr>
        <w:jc w:val="right"/>
        <w:rPr>
          <w:rFonts w:ascii="Arial" w:hAnsi="Arial"/>
          <w:sz w:val="24"/>
        </w:rPr>
      </w:pPr>
      <w:r w:rsidRPr="009C0E70">
        <w:rPr>
          <w:rFonts w:ascii="Arial" w:hAnsi="Arial"/>
          <w:sz w:val="24"/>
        </w:rPr>
        <w:lastRenderedPageBreak/>
        <w:t>6. számú melléklet</w:t>
      </w:r>
    </w:p>
    <w:p w:rsidR="009C0E70" w:rsidRPr="009C0E70" w:rsidRDefault="009C0E70" w:rsidP="009C0E70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lang w:eastAsia="ar-SA"/>
        </w:rPr>
      </w:pPr>
    </w:p>
    <w:p w:rsidR="009C0E70" w:rsidRPr="009C0E70" w:rsidRDefault="009C0E70" w:rsidP="009C0E70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C0E70">
        <w:rPr>
          <w:rFonts w:ascii="Arial" w:eastAsia="Times New Roman" w:hAnsi="Arial" w:cs="Arial"/>
          <w:b/>
          <w:sz w:val="28"/>
          <w:szCs w:val="28"/>
          <w:lang w:eastAsia="hu-HU"/>
        </w:rPr>
        <w:t>A vasúti közlekedés biztonságával közvetlenül összefüggő munkakörökben foglalkoztatottak jegyzéke (létszám)</w:t>
      </w:r>
    </w:p>
    <w:tbl>
      <w:tblPr>
        <w:tblW w:w="90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585"/>
        <w:gridCol w:w="2475"/>
        <w:gridCol w:w="1070"/>
        <w:gridCol w:w="2372"/>
      </w:tblGrid>
      <w:tr w:rsidR="009C0E70" w:rsidRPr="009C0E70" w:rsidTr="00BD1D3F">
        <w:trPr>
          <w:trHeight w:val="968"/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0E70" w:rsidRPr="009C0E70" w:rsidRDefault="009C0E70" w:rsidP="009C0E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Munkakör megnevezése*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Vasúti társaságnál alkalmazott munkakör megnevezése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Létszám (fő)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Más vállalattal kötött szerződés alapján</w:t>
            </w:r>
          </w:p>
        </w:tc>
      </w:tr>
      <w:tr w:rsidR="009C0E70" w:rsidRPr="009C0E70" w:rsidTr="00BD1D3F">
        <w:trPr>
          <w:trHeight w:val="290"/>
          <w:jc w:val="center"/>
        </w:trPr>
        <w:tc>
          <w:tcPr>
            <w:tcW w:w="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ind w:firstLine="108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E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C0E70" w:rsidRPr="009C0E70" w:rsidTr="00BD1D3F">
        <w:trPr>
          <w:trHeight w:val="290"/>
          <w:jc w:val="center"/>
        </w:trPr>
        <w:tc>
          <w:tcPr>
            <w:tcW w:w="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ind w:firstLine="108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E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:rsidR="009C0E70" w:rsidRPr="009C0E70" w:rsidRDefault="009C0E70" w:rsidP="009C0E70">
      <w:pPr>
        <w:spacing w:before="120" w:after="0" w:line="36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9C0E70">
        <w:rPr>
          <w:rFonts w:ascii="Arial" w:eastAsia="Times New Roman" w:hAnsi="Arial" w:cs="Arial"/>
          <w:i/>
          <w:sz w:val="16"/>
          <w:szCs w:val="16"/>
          <w:lang w:eastAsia="hu-HU"/>
        </w:rPr>
        <w:t>⃰ 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szóló 19/2011. (V. 10.) NFM rendelet 1. melléklet A rendelet alkalmazásakor figyelembe veendő munkakörök, feladatkörök és munkaköri csoportok „I. Országos közforgalmú, térségi és saját célú vasúti pályahálózat” táblázatban felsorolt munkaköröket (feladatköröket) kell érteni.</w:t>
      </w:r>
    </w:p>
    <w:p w:rsidR="009C0E70" w:rsidRPr="009C0E70" w:rsidRDefault="009C0E70" w:rsidP="009C0E70">
      <w:pPr>
        <w:spacing w:after="100" w:afterAutospacing="1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bCs/>
          <w:sz w:val="24"/>
          <w:szCs w:val="24"/>
          <w:lang w:eastAsia="hu-HU"/>
        </w:rPr>
        <w:t>7. számú melléklet</w:t>
      </w: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17"/>
        <w:gridCol w:w="567"/>
        <w:gridCol w:w="1418"/>
        <w:gridCol w:w="567"/>
        <w:gridCol w:w="992"/>
        <w:gridCol w:w="992"/>
        <w:gridCol w:w="995"/>
        <w:gridCol w:w="706"/>
        <w:gridCol w:w="1134"/>
        <w:gridCol w:w="1134"/>
        <w:gridCol w:w="638"/>
      </w:tblGrid>
      <w:tr w:rsidR="009C0E70" w:rsidRPr="009C0E70" w:rsidTr="00BD1D3F">
        <w:trPr>
          <w:trHeight w:val="330"/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Vasút társaság</w:t>
            </w:r>
            <w:r w:rsidRPr="009C0E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vasúti vontató és vontatott járműveinek jegyzéke</w:t>
            </w:r>
          </w:p>
        </w:tc>
      </w:tr>
      <w:tr w:rsidR="009C0E70" w:rsidRPr="009C0E70" w:rsidTr="00BD1D3F">
        <w:trPr>
          <w:trHeight w:val="96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Pálya-szám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VKM kód*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Üzembehelyezési</w:t>
            </w:r>
            <w:proofErr w:type="spellEnd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engedély száma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EASZ</w:t>
            </w:r>
          </w:p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Utolsó fővizsgálat időpontja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Fővizsgálati ciklusidő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Üzemben-tartó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Üzemel-tető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Karbantar-</w:t>
            </w:r>
            <w:proofErr w:type="spellEnd"/>
          </w:p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tásért  felelős</w:t>
            </w:r>
            <w:proofErr w:type="gramEnd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szervezet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Karbantartás végrehajtást végző szervezet (műhely)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9C0E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Tulaj-donos</w:t>
            </w:r>
            <w:proofErr w:type="spellEnd"/>
          </w:p>
        </w:tc>
      </w:tr>
      <w:tr w:rsidR="009C0E70" w:rsidRPr="009C0E70" w:rsidTr="00BD1D3F">
        <w:trPr>
          <w:trHeight w:val="96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9C0E70" w:rsidRPr="009C0E70" w:rsidTr="00BD1D3F">
        <w:trPr>
          <w:trHeight w:val="255"/>
          <w:jc w:val="center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E70" w:rsidRPr="009C0E70" w:rsidRDefault="009C0E70" w:rsidP="009C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* VKM kód</w:t>
            </w:r>
            <w:r w:rsidRPr="009C0E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 xml:space="preserve"> = </w:t>
            </w:r>
            <w:r w:rsidRPr="009C0E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u-HU"/>
              </w:rPr>
              <w:t>üzembentartói jelzés</w:t>
            </w:r>
            <w:r w:rsidRPr="009C0E7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 az üzembentartó rövidítésének jelzése;</w:t>
            </w:r>
          </w:p>
          <w:p w:rsidR="009C0E70" w:rsidRPr="009C0E70" w:rsidRDefault="009C0E70" w:rsidP="009C0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** EASZ</w:t>
            </w:r>
            <w:r w:rsidRPr="009C0E70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= </w:t>
            </w:r>
            <w:r w:rsidRPr="009C0E7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 xml:space="preserve">európai azonosító szám: </w:t>
            </w:r>
            <w:r w:rsidRPr="009C0E7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Európai Vasúti Ügynökség által rendszeresített összehangolt számozási rendszerben a biztonsági tanúsítványokhoz és egyéb dokumentumokhoz használt kód;</w:t>
            </w:r>
          </w:p>
        </w:tc>
      </w:tr>
    </w:tbl>
    <w:p w:rsidR="009C0E70" w:rsidRPr="009C0E70" w:rsidRDefault="009C0E70" w:rsidP="009C0E70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C0E70">
        <w:rPr>
          <w:rFonts w:ascii="Arial" w:eastAsia="Times New Roman" w:hAnsi="Arial" w:cs="Arial"/>
          <w:bCs/>
          <w:sz w:val="24"/>
          <w:szCs w:val="24"/>
          <w:lang w:eastAsia="hu-HU"/>
        </w:rPr>
        <w:t>8. számú melléklet</w:t>
      </w:r>
    </w:p>
    <w:p w:rsidR="009C0E70" w:rsidRPr="009C0E70" w:rsidRDefault="009C0E70" w:rsidP="009C0E70">
      <w:pPr>
        <w:spacing w:after="0" w:line="360" w:lineRule="auto"/>
        <w:ind w:left="3600" w:hanging="3600"/>
        <w:jc w:val="center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9C0E70">
        <w:rPr>
          <w:rFonts w:ascii="Arial" w:eastAsia="Times New Roman" w:hAnsi="Arial" w:cs="Arial"/>
          <w:b/>
          <w:sz w:val="28"/>
          <w:szCs w:val="28"/>
          <w:lang w:val="x-none" w:eastAsia="x-none"/>
        </w:rPr>
        <w:t>A vasúti járművek karbantartására vonatkozó adatok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3060"/>
        <w:gridCol w:w="2701"/>
      </w:tblGrid>
      <w:tr w:rsidR="009C0E70" w:rsidRPr="009C0E70" w:rsidTr="00BD1D3F">
        <w:trPr>
          <w:trHeight w:val="8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Jármű sorozat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Technológiai utasítás (szabvány, stb.) megnevezése, azonosító száma: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Karbantartást végző szervezet megnevezése: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C0E7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Szerződés, megállapodás azonosító száma:</w:t>
            </w:r>
          </w:p>
        </w:tc>
      </w:tr>
      <w:tr w:rsidR="009C0E70" w:rsidRPr="009C0E70" w:rsidTr="00BD1D3F">
        <w:trPr>
          <w:trHeight w:val="7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C0E70" w:rsidRPr="009C0E70" w:rsidTr="00BD1D3F">
        <w:trPr>
          <w:trHeight w:val="5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70" w:rsidRPr="009C0E70" w:rsidRDefault="009C0E70" w:rsidP="009C0E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57207" w:rsidRDefault="00A57207" w:rsidP="007163F5"/>
    <w:sectPr w:rsidR="00A57207" w:rsidSect="00EF253B">
      <w:pgSz w:w="11906" w:h="16838"/>
      <w:pgMar w:top="1276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70" w:rsidRDefault="009C0E70" w:rsidP="009C0E70">
      <w:pPr>
        <w:spacing w:after="0" w:line="240" w:lineRule="auto"/>
      </w:pPr>
      <w:r>
        <w:separator/>
      </w:r>
    </w:p>
  </w:endnote>
  <w:endnote w:type="continuationSeparator" w:id="0">
    <w:p w:rsidR="009C0E70" w:rsidRDefault="009C0E70" w:rsidP="009C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F5" w:rsidRPr="00072F5B" w:rsidRDefault="007163F5" w:rsidP="007163F5">
    <w:pPr>
      <w:pBdr>
        <w:top w:val="single" w:sz="4" w:space="1" w:color="auto"/>
      </w:pBdr>
      <w:tabs>
        <w:tab w:val="center" w:pos="5103"/>
        <w:tab w:val="right" w:pos="10206"/>
      </w:tabs>
      <w:spacing w:after="0" w:line="240" w:lineRule="auto"/>
      <w:jc w:val="center"/>
      <w:rPr>
        <w:rFonts w:ascii="Goudy Old Style" w:eastAsia="Times New Roman" w:hAnsi="Goudy Old Style" w:cs="Times New Roman"/>
        <w:smallCaps/>
        <w:sz w:val="20"/>
        <w:szCs w:val="20"/>
        <w:lang w:eastAsia="hu-HU"/>
      </w:rPr>
    </w:pP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Technológiai</w:t>
    </w:r>
    <w:r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 xml:space="preserve"> és Ipari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 xml:space="preserve"> Minisztérium</w:t>
    </w:r>
  </w:p>
  <w:p w:rsidR="000304C1" w:rsidRPr="00072F5B" w:rsidRDefault="009C0E70" w:rsidP="000304C1">
    <w:pPr>
      <w:tabs>
        <w:tab w:val="center" w:pos="5103"/>
        <w:tab w:val="right" w:pos="10206"/>
      </w:tabs>
      <w:spacing w:after="0" w:line="240" w:lineRule="auto"/>
      <w:jc w:val="center"/>
      <w:rPr>
        <w:rFonts w:ascii="Goudy Old Style" w:eastAsia="Times New Roman" w:hAnsi="Goudy Old Style" w:cs="Times New Roman"/>
        <w:smallCaps/>
        <w:sz w:val="20"/>
        <w:szCs w:val="20"/>
        <w:lang w:eastAsia="hu-HU"/>
      </w:rPr>
    </w:pP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Vasúti Hatósági F</w:t>
    </w:r>
    <w:r w:rsidRPr="00072F5B">
      <w:rPr>
        <w:rFonts w:ascii="Times New Roman" w:eastAsia="Times New Roman" w:hAnsi="Times New Roman" w:cs="Times New Roman"/>
        <w:smallCaps/>
        <w:sz w:val="20"/>
        <w:szCs w:val="20"/>
        <w:lang w:eastAsia="hu-HU"/>
      </w:rPr>
      <w:t>ő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oszt</w:t>
    </w:r>
    <w:r w:rsidRPr="00072F5B">
      <w:rPr>
        <w:rFonts w:ascii="Goudy Old Style" w:eastAsia="Times New Roman" w:hAnsi="Goudy Old Style" w:cs="Goudy Old Style"/>
        <w:smallCaps/>
        <w:sz w:val="20"/>
        <w:szCs w:val="20"/>
        <w:lang w:eastAsia="hu-HU"/>
      </w:rPr>
      <w:t>á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ly</w:t>
    </w:r>
  </w:p>
  <w:p w:rsidR="000304C1" w:rsidRPr="00072F5B" w:rsidRDefault="007163F5" w:rsidP="007163F5">
    <w:pPr>
      <w:tabs>
        <w:tab w:val="left" w:pos="940"/>
        <w:tab w:val="center" w:pos="4536"/>
        <w:tab w:val="center" w:pos="5103"/>
        <w:tab w:val="right" w:pos="10206"/>
      </w:tabs>
      <w:spacing w:after="0" w:line="240" w:lineRule="auto"/>
      <w:rPr>
        <w:rFonts w:ascii="Goudy Old Style" w:eastAsia="Times New Roman" w:hAnsi="Goudy Old Style" w:cs="Times New Roman"/>
        <w:sz w:val="20"/>
        <w:szCs w:val="20"/>
        <w:lang w:eastAsia="hu-HU"/>
      </w:rPr>
    </w:pPr>
    <w:r>
      <w:rPr>
        <w:rFonts w:ascii="Goudy Old Style" w:eastAsia="Times New Roman" w:hAnsi="Goudy Old Style" w:cs="Times New Roman"/>
        <w:sz w:val="20"/>
        <w:szCs w:val="20"/>
        <w:lang w:eastAsia="hu-HU"/>
      </w:rPr>
      <w:tab/>
    </w:r>
    <w:r>
      <w:rPr>
        <w:rFonts w:ascii="Goudy Old Style" w:eastAsia="Times New Roman" w:hAnsi="Goudy Old Style" w:cs="Times New Roman"/>
        <w:sz w:val="20"/>
        <w:szCs w:val="20"/>
        <w:lang w:eastAsia="hu-HU"/>
      </w:rPr>
      <w:tab/>
    </w:r>
    <w:r w:rsidR="009C0E70"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H-1138 Budapest, Váci út 188.</w:t>
    </w:r>
  </w:p>
  <w:p w:rsidR="000304C1" w:rsidRPr="00072F5B" w:rsidRDefault="009C0E70" w:rsidP="000304C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hu-HU"/>
      </w:rPr>
    </w:pPr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ab/>
    </w:r>
    <w:proofErr w:type="gramStart"/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e-mail</w:t>
    </w:r>
    <w:proofErr w:type="gramEnd"/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 xml:space="preserve">: </w:t>
    </w:r>
    <w:hyperlink r:id="rId1" w:history="1">
      <w:r w:rsidR="0032396C" w:rsidRPr="00B54A6D">
        <w:rPr>
          <w:rStyle w:val="Hiperhivatkozs"/>
          <w:rFonts w:ascii="Goudy Old Style" w:eastAsia="Times New Roman" w:hAnsi="Goudy Old Style" w:cs="Times New Roman"/>
          <w:sz w:val="20"/>
          <w:szCs w:val="20"/>
          <w:lang w:eastAsia="hu-HU"/>
        </w:rPr>
        <w:t>vasut.nsa@tim.gov.hu</w:t>
      </w:r>
    </w:hyperlink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 xml:space="preserve">  tel.: +36 (1)</w:t>
    </w:r>
    <w:r w:rsidR="0032396C">
      <w:rPr>
        <w:rFonts w:ascii="Goudy Old Style" w:eastAsia="Times New Roman" w:hAnsi="Goudy Old Style" w:cs="Times New Roman"/>
        <w:sz w:val="20"/>
        <w:szCs w:val="20"/>
        <w:lang w:eastAsia="hu-HU"/>
      </w:rPr>
      <w:t xml:space="preserve"> 474 - 1761; KR ID:661038388 TIM</w:t>
    </w:r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VHF</w:t>
    </w:r>
  </w:p>
  <w:p w:rsidR="000304C1" w:rsidRDefault="00250B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C1" w:rsidRPr="00072F5B" w:rsidRDefault="009C0E70" w:rsidP="000304C1">
    <w:pPr>
      <w:pBdr>
        <w:top w:val="single" w:sz="4" w:space="1" w:color="auto"/>
      </w:pBdr>
      <w:tabs>
        <w:tab w:val="center" w:pos="5103"/>
        <w:tab w:val="right" w:pos="10206"/>
      </w:tabs>
      <w:spacing w:after="0" w:line="240" w:lineRule="auto"/>
      <w:jc w:val="center"/>
      <w:rPr>
        <w:rFonts w:ascii="Goudy Old Style" w:eastAsia="Times New Roman" w:hAnsi="Goudy Old Style" w:cs="Times New Roman"/>
        <w:smallCaps/>
        <w:sz w:val="20"/>
        <w:szCs w:val="20"/>
        <w:lang w:eastAsia="hu-HU"/>
      </w:rPr>
    </w:pP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Technológiai</w:t>
    </w:r>
    <w:r w:rsidR="007163F5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 xml:space="preserve"> és Ipari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 xml:space="preserve"> Minisztérium</w:t>
    </w:r>
  </w:p>
  <w:p w:rsidR="000304C1" w:rsidRPr="00072F5B" w:rsidRDefault="009C0E70" w:rsidP="000304C1">
    <w:pPr>
      <w:tabs>
        <w:tab w:val="center" w:pos="5103"/>
        <w:tab w:val="right" w:pos="10206"/>
      </w:tabs>
      <w:spacing w:after="0" w:line="240" w:lineRule="auto"/>
      <w:jc w:val="center"/>
      <w:rPr>
        <w:rFonts w:ascii="Goudy Old Style" w:eastAsia="Times New Roman" w:hAnsi="Goudy Old Style" w:cs="Times New Roman"/>
        <w:smallCaps/>
        <w:sz w:val="20"/>
        <w:szCs w:val="20"/>
        <w:lang w:eastAsia="hu-HU"/>
      </w:rPr>
    </w:pP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Vasúti Hatósági F</w:t>
    </w:r>
    <w:r w:rsidRPr="00072F5B">
      <w:rPr>
        <w:rFonts w:ascii="Times New Roman" w:eastAsia="Times New Roman" w:hAnsi="Times New Roman" w:cs="Times New Roman"/>
        <w:smallCaps/>
        <w:sz w:val="20"/>
        <w:szCs w:val="20"/>
        <w:lang w:eastAsia="hu-HU"/>
      </w:rPr>
      <w:t>ő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oszt</w:t>
    </w:r>
    <w:r w:rsidRPr="00072F5B">
      <w:rPr>
        <w:rFonts w:ascii="Goudy Old Style" w:eastAsia="Times New Roman" w:hAnsi="Goudy Old Style" w:cs="Goudy Old Style"/>
        <w:smallCaps/>
        <w:sz w:val="20"/>
        <w:szCs w:val="20"/>
        <w:lang w:eastAsia="hu-HU"/>
      </w:rPr>
      <w:t>á</w:t>
    </w:r>
    <w:r w:rsidRPr="00072F5B">
      <w:rPr>
        <w:rFonts w:ascii="Goudy Old Style" w:eastAsia="Times New Roman" w:hAnsi="Goudy Old Style" w:cs="Times New Roman"/>
        <w:smallCaps/>
        <w:sz w:val="20"/>
        <w:szCs w:val="20"/>
        <w:lang w:eastAsia="hu-HU"/>
      </w:rPr>
      <w:t>ly</w:t>
    </w:r>
  </w:p>
  <w:p w:rsidR="000304C1" w:rsidRPr="00072F5B" w:rsidRDefault="009C0E70" w:rsidP="000304C1">
    <w:pPr>
      <w:tabs>
        <w:tab w:val="center" w:pos="5103"/>
        <w:tab w:val="right" w:pos="10206"/>
      </w:tabs>
      <w:spacing w:after="0" w:line="240" w:lineRule="auto"/>
      <w:jc w:val="center"/>
      <w:rPr>
        <w:rFonts w:ascii="Goudy Old Style" w:eastAsia="Times New Roman" w:hAnsi="Goudy Old Style" w:cs="Times New Roman"/>
        <w:sz w:val="20"/>
        <w:szCs w:val="20"/>
        <w:lang w:eastAsia="hu-HU"/>
      </w:rPr>
    </w:pPr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H-1138 Budapest, Váci út 188.</w:t>
    </w:r>
  </w:p>
  <w:p w:rsidR="000304C1" w:rsidRPr="00072F5B" w:rsidRDefault="009C0E70" w:rsidP="000304C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hu-HU"/>
      </w:rPr>
    </w:pPr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ab/>
    </w:r>
    <w:proofErr w:type="gramStart"/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e-mail</w:t>
    </w:r>
    <w:proofErr w:type="gramEnd"/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 xml:space="preserve">: </w:t>
    </w:r>
    <w:hyperlink r:id="rId1" w:history="1">
      <w:r w:rsidR="00250B8D" w:rsidRPr="00E4282B">
        <w:rPr>
          <w:rStyle w:val="Hiperhivatkozs"/>
          <w:rFonts w:ascii="Goudy Old Style" w:eastAsia="Times New Roman" w:hAnsi="Goudy Old Style" w:cs="Times New Roman"/>
          <w:sz w:val="20"/>
          <w:szCs w:val="20"/>
          <w:lang w:eastAsia="hu-HU"/>
        </w:rPr>
        <w:t>vasut.nsa@tim.gov.hu</w:t>
      </w:r>
    </w:hyperlink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 xml:space="preserve">  tel.: +36 (1) 474 - 1761; KR ID:661038388 </w:t>
    </w:r>
    <w:r w:rsidR="00250B8D">
      <w:rPr>
        <w:rFonts w:ascii="Goudy Old Style" w:eastAsia="Times New Roman" w:hAnsi="Goudy Old Style" w:cs="Times New Roman"/>
        <w:sz w:val="20"/>
        <w:szCs w:val="20"/>
        <w:lang w:eastAsia="hu-HU"/>
      </w:rPr>
      <w:t>TIM</w:t>
    </w:r>
    <w:r w:rsidRPr="00072F5B">
      <w:rPr>
        <w:rFonts w:ascii="Goudy Old Style" w:eastAsia="Times New Roman" w:hAnsi="Goudy Old Style" w:cs="Times New Roman"/>
        <w:sz w:val="20"/>
        <w:szCs w:val="20"/>
        <w:lang w:eastAsia="hu-HU"/>
      </w:rPr>
      <w:t>VHF</w:t>
    </w:r>
  </w:p>
  <w:p w:rsidR="000304C1" w:rsidRDefault="00250B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70" w:rsidRDefault="009C0E70" w:rsidP="009C0E70">
      <w:pPr>
        <w:spacing w:after="0" w:line="240" w:lineRule="auto"/>
      </w:pPr>
      <w:r>
        <w:separator/>
      </w:r>
    </w:p>
  </w:footnote>
  <w:footnote w:type="continuationSeparator" w:id="0">
    <w:p w:rsidR="009C0E70" w:rsidRDefault="009C0E70" w:rsidP="009C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C1" w:rsidRDefault="00EF253B">
    <w:pPr>
      <w:pStyle w:val="lfej"/>
      <w:jc w:val="center"/>
    </w:pPr>
    <w:r>
      <w:tab/>
    </w:r>
    <w:r>
      <w:tab/>
    </w:r>
    <w:r w:rsidR="007163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051"/>
    <w:multiLevelType w:val="hybridMultilevel"/>
    <w:tmpl w:val="95984C72"/>
    <w:lvl w:ilvl="0" w:tplc="CAC210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9FB"/>
    <w:multiLevelType w:val="hybridMultilevel"/>
    <w:tmpl w:val="22DA661A"/>
    <w:lvl w:ilvl="0" w:tplc="CAC210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D92"/>
    <w:multiLevelType w:val="hybridMultilevel"/>
    <w:tmpl w:val="59D6F2BA"/>
    <w:lvl w:ilvl="0" w:tplc="E7B46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B8140D3"/>
    <w:multiLevelType w:val="multilevel"/>
    <w:tmpl w:val="9CEA3A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3E4784"/>
    <w:multiLevelType w:val="hybridMultilevel"/>
    <w:tmpl w:val="AF921154"/>
    <w:lvl w:ilvl="0" w:tplc="03841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8A1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0519B"/>
    <w:multiLevelType w:val="hybridMultilevel"/>
    <w:tmpl w:val="E898A0AA"/>
    <w:lvl w:ilvl="0" w:tplc="CAC210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6A1E"/>
    <w:multiLevelType w:val="hybridMultilevel"/>
    <w:tmpl w:val="905C8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B13"/>
    <w:multiLevelType w:val="hybridMultilevel"/>
    <w:tmpl w:val="3DFC818C"/>
    <w:lvl w:ilvl="0" w:tplc="CAC210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5501"/>
    <w:multiLevelType w:val="hybridMultilevel"/>
    <w:tmpl w:val="AF26D32A"/>
    <w:lvl w:ilvl="0" w:tplc="CAC210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0"/>
    <w:rsid w:val="00250B8D"/>
    <w:rsid w:val="0032396C"/>
    <w:rsid w:val="007163F5"/>
    <w:rsid w:val="009C0E70"/>
    <w:rsid w:val="00A57207"/>
    <w:rsid w:val="00E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9ED4AB-B2BC-4FC1-8FFE-E471CBA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E70"/>
  </w:style>
  <w:style w:type="paragraph" w:styleId="llb">
    <w:name w:val="footer"/>
    <w:basedOn w:val="Norml"/>
    <w:link w:val="llbChar"/>
    <w:uiPriority w:val="99"/>
    <w:unhideWhenUsed/>
    <w:rsid w:val="009C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0E70"/>
  </w:style>
  <w:style w:type="paragraph" w:styleId="Buborkszveg">
    <w:name w:val="Balloon Text"/>
    <w:basedOn w:val="Norml"/>
    <w:link w:val="BuborkszvegChar"/>
    <w:uiPriority w:val="99"/>
    <w:semiHidden/>
    <w:unhideWhenUsed/>
    <w:rsid w:val="009C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E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23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.europa.eu/Document-Register/Documents/sms_guide_a-system-approach_1_hu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ut.nsa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sut.nsa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8214-8AD6-49E8-B9AB-8277CAC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1900</Words>
  <Characters>13110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 László</dc:creator>
  <cp:lastModifiedBy>Hamvas Jánosné</cp:lastModifiedBy>
  <cp:revision>3</cp:revision>
  <dcterms:created xsi:type="dcterms:W3CDTF">2022-06-22T07:56:00Z</dcterms:created>
  <dcterms:modified xsi:type="dcterms:W3CDTF">2022-06-22T08:02:00Z</dcterms:modified>
</cp:coreProperties>
</file>